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A91" w:rsidRDefault="008D5A91">
      <w:pPr>
        <w:spacing w:line="420" w:lineRule="exact"/>
        <w:rPr>
          <w:color w:val="000000"/>
          <w:sz w:val="24"/>
        </w:rPr>
      </w:pPr>
      <w:bookmarkStart w:id="0" w:name="_GoBack"/>
      <w:bookmarkEnd w:id="0"/>
      <w:r>
        <w:rPr>
          <w:rFonts w:hAnsi="宋体" w:hint="eastAsia"/>
          <w:color w:val="000000"/>
          <w:sz w:val="24"/>
        </w:rPr>
        <w:t>证券</w:t>
      </w:r>
      <w:r>
        <w:rPr>
          <w:rFonts w:hAnsi="宋体"/>
          <w:color w:val="000000"/>
          <w:sz w:val="24"/>
        </w:rPr>
        <w:t>代码：</w:t>
      </w:r>
      <w:r>
        <w:rPr>
          <w:color w:val="000000"/>
          <w:sz w:val="24"/>
        </w:rPr>
        <w:t xml:space="preserve">000488  200488  </w:t>
      </w:r>
      <w:r>
        <w:rPr>
          <w:rFonts w:hint="eastAsia"/>
          <w:color w:val="000000"/>
          <w:sz w:val="24"/>
        </w:rPr>
        <w:t xml:space="preserve"> </w:t>
      </w:r>
      <w:r>
        <w:rPr>
          <w:color w:val="000000"/>
          <w:sz w:val="24"/>
        </w:rPr>
        <w:t xml:space="preserve"> </w:t>
      </w:r>
      <w:r>
        <w:rPr>
          <w:rFonts w:hAnsi="宋体" w:hint="eastAsia"/>
          <w:color w:val="000000"/>
          <w:sz w:val="24"/>
        </w:rPr>
        <w:t>证券</w:t>
      </w:r>
      <w:r>
        <w:rPr>
          <w:rFonts w:hAnsi="宋体"/>
          <w:color w:val="000000"/>
          <w:sz w:val="24"/>
        </w:rPr>
        <w:t>简称：晨鸣纸业</w:t>
      </w:r>
      <w:r>
        <w:rPr>
          <w:color w:val="000000"/>
          <w:sz w:val="24"/>
        </w:rPr>
        <w:t xml:space="preserve">  </w:t>
      </w:r>
      <w:r>
        <w:rPr>
          <w:rFonts w:hAnsi="宋体"/>
          <w:color w:val="000000"/>
          <w:sz w:val="24"/>
        </w:rPr>
        <w:t>晨鸣</w:t>
      </w:r>
      <w:r>
        <w:rPr>
          <w:color w:val="000000"/>
          <w:sz w:val="24"/>
        </w:rPr>
        <w:t xml:space="preserve">B  </w:t>
      </w:r>
      <w:r>
        <w:rPr>
          <w:rFonts w:hint="eastAsia"/>
          <w:color w:val="000000"/>
          <w:sz w:val="24"/>
        </w:rPr>
        <w:t xml:space="preserve">  </w:t>
      </w:r>
      <w:r>
        <w:rPr>
          <w:rFonts w:hAnsi="宋体"/>
          <w:color w:val="000000"/>
          <w:sz w:val="24"/>
        </w:rPr>
        <w:t>公告编号：</w:t>
      </w:r>
      <w:r>
        <w:rPr>
          <w:color w:val="000000"/>
          <w:sz w:val="24"/>
        </w:rPr>
        <w:t>20</w:t>
      </w:r>
      <w:r>
        <w:rPr>
          <w:rFonts w:hint="eastAsia"/>
          <w:color w:val="000000"/>
          <w:sz w:val="24"/>
        </w:rPr>
        <w:t>24</w:t>
      </w:r>
      <w:r>
        <w:rPr>
          <w:color w:val="000000"/>
          <w:sz w:val="24"/>
        </w:rPr>
        <w:t>-</w:t>
      </w:r>
      <w:r>
        <w:rPr>
          <w:rFonts w:hint="eastAsia"/>
          <w:color w:val="000000"/>
          <w:sz w:val="24"/>
        </w:rPr>
        <w:t>067</w:t>
      </w:r>
    </w:p>
    <w:p w:rsidR="008D5A91" w:rsidRDefault="008D5A91">
      <w:pPr>
        <w:spacing w:beforeLines="50" w:before="156" w:line="360" w:lineRule="auto"/>
        <w:jc w:val="center"/>
        <w:rPr>
          <w:b/>
          <w:sz w:val="32"/>
          <w:szCs w:val="32"/>
        </w:rPr>
      </w:pPr>
      <w:r>
        <w:rPr>
          <w:rFonts w:hAnsi="宋体"/>
          <w:b/>
          <w:sz w:val="32"/>
          <w:szCs w:val="32"/>
        </w:rPr>
        <w:t>山东晨鸣纸业集团股份有限公司</w:t>
      </w:r>
    </w:p>
    <w:p w:rsidR="008D5A91" w:rsidRDefault="008D5A91">
      <w:pPr>
        <w:spacing w:line="360" w:lineRule="auto"/>
        <w:jc w:val="center"/>
        <w:rPr>
          <w:b/>
          <w:sz w:val="32"/>
          <w:szCs w:val="32"/>
        </w:rPr>
      </w:pPr>
      <w:r>
        <w:rPr>
          <w:rFonts w:hAnsi="宋体" w:hint="eastAsia"/>
          <w:b/>
          <w:sz w:val="32"/>
          <w:szCs w:val="32"/>
        </w:rPr>
        <w:t>关于为</w:t>
      </w:r>
      <w:r>
        <w:rPr>
          <w:rFonts w:hAnsi="宋体"/>
          <w:b/>
          <w:sz w:val="32"/>
          <w:szCs w:val="32"/>
        </w:rPr>
        <w:t>参股公司提供财务资助</w:t>
      </w:r>
      <w:r>
        <w:rPr>
          <w:rFonts w:hAnsi="宋体" w:hint="eastAsia"/>
          <w:b/>
          <w:sz w:val="32"/>
          <w:szCs w:val="32"/>
        </w:rPr>
        <w:t>暨关联交易</w:t>
      </w:r>
      <w:r>
        <w:rPr>
          <w:rFonts w:hAnsi="宋体"/>
          <w:b/>
          <w:sz w:val="32"/>
          <w:szCs w:val="32"/>
        </w:rPr>
        <w:t>的公告</w:t>
      </w:r>
    </w:p>
    <w:p w:rsidR="008D5A91" w:rsidRDefault="008D5A91">
      <w:pPr>
        <w:spacing w:line="400" w:lineRule="exact"/>
        <w:ind w:firstLineChars="200" w:firstLine="480"/>
        <w:rPr>
          <w:sz w:val="30"/>
          <w:szCs w:val="30"/>
        </w:rPr>
      </w:pPr>
      <w:r>
        <w:rPr>
          <w:rFonts w:hAnsi="宋体"/>
          <w:sz w:val="24"/>
        </w:rPr>
        <w:t>本公司及董事会全体成员保证信息披露的内容真实、准确、完整，没有虚假记载、误导性陈述或重大遗漏。</w:t>
      </w:r>
    </w:p>
    <w:p w:rsidR="008D5A91" w:rsidRDefault="008D5A91">
      <w:pPr>
        <w:spacing w:line="400" w:lineRule="exact"/>
        <w:ind w:firstLineChars="150" w:firstLine="361"/>
        <w:outlineLvl w:val="0"/>
        <w:rPr>
          <w:rFonts w:hAnsi="宋体" w:hint="eastAsia"/>
          <w:b/>
          <w:sz w:val="24"/>
        </w:rPr>
      </w:pPr>
      <w:r>
        <w:rPr>
          <w:rFonts w:hAnsi="宋体"/>
          <w:b/>
          <w:sz w:val="24"/>
        </w:rPr>
        <w:t>一、财务资助</w:t>
      </w:r>
      <w:r>
        <w:rPr>
          <w:rFonts w:hAnsi="宋体" w:hint="eastAsia"/>
          <w:b/>
          <w:sz w:val="24"/>
        </w:rPr>
        <w:t>事项</w:t>
      </w:r>
      <w:r>
        <w:rPr>
          <w:rFonts w:hAnsi="宋体"/>
          <w:b/>
          <w:sz w:val="24"/>
        </w:rPr>
        <w:t>概述</w:t>
      </w:r>
    </w:p>
    <w:p w:rsidR="008D5A91" w:rsidRDefault="008D5A91">
      <w:pPr>
        <w:spacing w:line="400" w:lineRule="exact"/>
        <w:ind w:firstLineChars="200" w:firstLine="480"/>
        <w:rPr>
          <w:rFonts w:hAnsi="宋体"/>
          <w:sz w:val="24"/>
        </w:rPr>
      </w:pPr>
      <w:r>
        <w:rPr>
          <w:rFonts w:hAnsi="宋体" w:hint="eastAsia"/>
          <w:sz w:val="24"/>
        </w:rPr>
        <w:t>1</w:t>
      </w:r>
      <w:r>
        <w:rPr>
          <w:rFonts w:hAnsi="宋体" w:hint="eastAsia"/>
          <w:sz w:val="24"/>
        </w:rPr>
        <w:t>、财务资助基本情况</w:t>
      </w:r>
    </w:p>
    <w:p w:rsidR="008D5A91" w:rsidRDefault="008D5A91">
      <w:pPr>
        <w:spacing w:line="400" w:lineRule="exact"/>
        <w:ind w:firstLineChars="200" w:firstLine="480"/>
        <w:rPr>
          <w:rFonts w:hAnsi="宋体" w:hint="eastAsia"/>
          <w:sz w:val="24"/>
        </w:rPr>
      </w:pPr>
      <w:r>
        <w:rPr>
          <w:rFonts w:hAnsi="宋体" w:hint="eastAsia"/>
          <w:kern w:val="0"/>
          <w:sz w:val="24"/>
        </w:rPr>
        <w:t>为满足</w:t>
      </w:r>
      <w:r>
        <w:rPr>
          <w:rFonts w:hAnsi="宋体"/>
          <w:sz w:val="24"/>
        </w:rPr>
        <w:t>山东晨鸣纸业集团股份有限公司（以下简称</w:t>
      </w:r>
      <w:r>
        <w:rPr>
          <w:rFonts w:ascii="宋体" w:hAnsi="宋体"/>
          <w:sz w:val="24"/>
        </w:rPr>
        <w:t>“公司”）</w:t>
      </w:r>
      <w:r>
        <w:rPr>
          <w:rFonts w:ascii="宋体" w:hAnsi="宋体" w:hint="eastAsia"/>
          <w:sz w:val="24"/>
        </w:rPr>
        <w:t>参股公司</w:t>
      </w:r>
      <w:r>
        <w:rPr>
          <w:rFonts w:hAnsi="宋体"/>
          <w:kern w:val="0"/>
          <w:sz w:val="24"/>
        </w:rPr>
        <w:t>潍坊港区木片码头有限公司</w:t>
      </w:r>
      <w:r>
        <w:rPr>
          <w:rFonts w:hAnsi="宋体"/>
          <w:sz w:val="24"/>
        </w:rPr>
        <w:t>（以下简称</w:t>
      </w:r>
      <w:r>
        <w:rPr>
          <w:rFonts w:ascii="宋体" w:hAnsi="宋体"/>
          <w:sz w:val="24"/>
        </w:rPr>
        <w:t>“</w:t>
      </w:r>
      <w:bookmarkStart w:id="1" w:name="OLE_LINK17"/>
      <w:bookmarkStart w:id="2" w:name="OLE_LINK16"/>
      <w:r>
        <w:rPr>
          <w:rFonts w:ascii="宋体" w:hAnsi="宋体"/>
          <w:sz w:val="24"/>
        </w:rPr>
        <w:t>潍坊木片码头</w:t>
      </w:r>
      <w:bookmarkEnd w:id="1"/>
      <w:bookmarkEnd w:id="2"/>
      <w:r>
        <w:rPr>
          <w:rFonts w:ascii="宋体" w:hAnsi="宋体"/>
          <w:sz w:val="24"/>
        </w:rPr>
        <w:t>”</w:t>
      </w:r>
      <w:r>
        <w:rPr>
          <w:rFonts w:hAnsi="宋体"/>
          <w:sz w:val="24"/>
        </w:rPr>
        <w:t>）</w:t>
      </w:r>
      <w:r>
        <w:rPr>
          <w:rFonts w:hAnsi="宋体" w:hint="eastAsia"/>
          <w:sz w:val="24"/>
        </w:rPr>
        <w:t>日常运营</w:t>
      </w:r>
      <w:r>
        <w:rPr>
          <w:rFonts w:hAnsi="宋体"/>
          <w:sz w:val="24"/>
        </w:rPr>
        <w:t>的</w:t>
      </w:r>
      <w:r>
        <w:rPr>
          <w:rFonts w:hAnsi="宋体" w:hint="eastAsia"/>
          <w:sz w:val="24"/>
        </w:rPr>
        <w:t>资金需求</w:t>
      </w:r>
      <w:r>
        <w:rPr>
          <w:rFonts w:hAnsi="宋体"/>
          <w:sz w:val="24"/>
        </w:rPr>
        <w:t>，</w:t>
      </w:r>
      <w:r>
        <w:rPr>
          <w:rFonts w:hAnsi="宋体" w:hint="eastAsia"/>
          <w:sz w:val="24"/>
        </w:rPr>
        <w:t>公司</w:t>
      </w:r>
      <w:r>
        <w:rPr>
          <w:rFonts w:hAnsi="宋体"/>
          <w:sz w:val="24"/>
        </w:rPr>
        <w:t>拟</w:t>
      </w:r>
      <w:r>
        <w:rPr>
          <w:rFonts w:hAnsi="宋体" w:hint="eastAsia"/>
          <w:sz w:val="24"/>
        </w:rPr>
        <w:t>以自有资金按持股比例向潍坊木片码头</w:t>
      </w:r>
      <w:r>
        <w:rPr>
          <w:rFonts w:hAnsi="宋体"/>
          <w:sz w:val="24"/>
        </w:rPr>
        <w:t>提供财务资助，资助金额</w:t>
      </w:r>
      <w:r>
        <w:rPr>
          <w:rFonts w:hAnsi="宋体" w:hint="eastAsia"/>
          <w:sz w:val="24"/>
        </w:rPr>
        <w:t>不超过</w:t>
      </w:r>
      <w:r>
        <w:rPr>
          <w:rFonts w:hAnsi="宋体"/>
          <w:sz w:val="24"/>
        </w:rPr>
        <w:t>人民币</w:t>
      </w:r>
      <w:bookmarkStart w:id="3" w:name="OLE_LINK15"/>
      <w:bookmarkStart w:id="4" w:name="OLE_LINK14"/>
      <w:r>
        <w:rPr>
          <w:rFonts w:hint="eastAsia"/>
          <w:sz w:val="24"/>
        </w:rPr>
        <w:t>1.5</w:t>
      </w:r>
      <w:r>
        <w:rPr>
          <w:rFonts w:hint="eastAsia"/>
          <w:sz w:val="24"/>
        </w:rPr>
        <w:t>亿元</w:t>
      </w:r>
      <w:bookmarkEnd w:id="3"/>
      <w:bookmarkEnd w:id="4"/>
      <w:r>
        <w:rPr>
          <w:rFonts w:hAnsi="宋体" w:hint="eastAsia"/>
          <w:sz w:val="24"/>
        </w:rPr>
        <w:t>（含</w:t>
      </w:r>
      <w:r>
        <w:rPr>
          <w:sz w:val="24"/>
        </w:rPr>
        <w:t>1.5</w:t>
      </w:r>
      <w:r>
        <w:rPr>
          <w:rFonts w:hint="eastAsia"/>
          <w:sz w:val="24"/>
        </w:rPr>
        <w:t>亿元</w:t>
      </w:r>
      <w:r>
        <w:rPr>
          <w:rFonts w:hAnsi="宋体" w:hint="eastAsia"/>
          <w:sz w:val="24"/>
        </w:rPr>
        <w:t>）</w:t>
      </w:r>
      <w:r>
        <w:rPr>
          <w:rFonts w:hAnsi="宋体"/>
          <w:sz w:val="24"/>
        </w:rPr>
        <w:t>，</w:t>
      </w:r>
      <w:r>
        <w:rPr>
          <w:rFonts w:hAnsi="宋体" w:hint="eastAsia"/>
          <w:sz w:val="24"/>
        </w:rPr>
        <w:t>借款的有效</w:t>
      </w:r>
      <w:r>
        <w:rPr>
          <w:rFonts w:hAnsi="宋体"/>
          <w:sz w:val="24"/>
        </w:rPr>
        <w:t>期限</w:t>
      </w:r>
      <w:r>
        <w:rPr>
          <w:rFonts w:hAnsi="宋体" w:hint="eastAsia"/>
          <w:sz w:val="24"/>
        </w:rPr>
        <w:t>不超过</w:t>
      </w:r>
      <w:r>
        <w:rPr>
          <w:rFonts w:hAnsi="宋体" w:hint="eastAsia"/>
          <w:sz w:val="24"/>
        </w:rPr>
        <w:t>5</w:t>
      </w:r>
      <w:r>
        <w:rPr>
          <w:rFonts w:hAnsi="宋体"/>
          <w:sz w:val="24"/>
        </w:rPr>
        <w:t>年</w:t>
      </w:r>
      <w:r>
        <w:rPr>
          <w:rFonts w:hAnsi="宋体" w:hint="eastAsia"/>
          <w:sz w:val="24"/>
        </w:rPr>
        <w:t>（含</w:t>
      </w:r>
      <w:r>
        <w:rPr>
          <w:rFonts w:hAnsi="宋体" w:hint="eastAsia"/>
          <w:sz w:val="24"/>
        </w:rPr>
        <w:t>5</w:t>
      </w:r>
      <w:r>
        <w:rPr>
          <w:rFonts w:hAnsi="宋体" w:hint="eastAsia"/>
          <w:sz w:val="24"/>
        </w:rPr>
        <w:t>年）</w:t>
      </w:r>
      <w:r>
        <w:rPr>
          <w:rFonts w:hAnsi="宋体"/>
          <w:sz w:val="24"/>
        </w:rPr>
        <w:t>，公司按</w:t>
      </w:r>
      <w:r>
        <w:rPr>
          <w:rFonts w:hAnsi="宋体" w:hint="eastAsia"/>
          <w:sz w:val="24"/>
        </w:rPr>
        <w:t>不低于</w:t>
      </w:r>
      <w:r>
        <w:rPr>
          <w:rFonts w:hint="eastAsia"/>
          <w:sz w:val="24"/>
        </w:rPr>
        <w:t>6</w:t>
      </w:r>
      <w:r>
        <w:rPr>
          <w:sz w:val="24"/>
        </w:rPr>
        <w:t>%</w:t>
      </w:r>
      <w:r>
        <w:rPr>
          <w:rFonts w:hint="eastAsia"/>
          <w:sz w:val="24"/>
        </w:rPr>
        <w:t>的</w:t>
      </w:r>
      <w:r>
        <w:rPr>
          <w:rFonts w:hAnsi="宋体"/>
          <w:sz w:val="24"/>
        </w:rPr>
        <w:t>年利率收取资助利息。</w:t>
      </w:r>
      <w:r>
        <w:rPr>
          <w:rFonts w:hAnsi="宋体" w:hint="eastAsia"/>
          <w:sz w:val="24"/>
        </w:rPr>
        <w:t>潍坊木片码头的其他股东山东港口渤海湾港集团有限公司</w:t>
      </w:r>
      <w:r>
        <w:rPr>
          <w:rFonts w:ascii="宋体" w:hAnsi="宋体"/>
          <w:sz w:val="24"/>
        </w:rPr>
        <w:t>（以下简称“</w:t>
      </w:r>
      <w:r>
        <w:rPr>
          <w:rFonts w:ascii="宋体" w:hAnsi="宋体" w:hint="eastAsia"/>
          <w:sz w:val="24"/>
        </w:rPr>
        <w:t>山东渤海湾集团</w:t>
      </w:r>
      <w:r>
        <w:rPr>
          <w:rFonts w:ascii="宋体" w:hAnsi="宋体"/>
          <w:sz w:val="24"/>
        </w:rPr>
        <w:t>”）</w:t>
      </w:r>
      <w:r>
        <w:rPr>
          <w:rFonts w:hAnsi="宋体" w:hint="eastAsia"/>
          <w:sz w:val="24"/>
        </w:rPr>
        <w:t>将按其出资比例提供同等条件的财务资助。本次财务资助不会影响公司正常业务开展及资金使用，不属于《深圳证券交易所股票上市规则》《深圳证券交易所上市公司自律监管指引第</w:t>
      </w:r>
      <w:r>
        <w:rPr>
          <w:rFonts w:hAnsi="宋体" w:hint="eastAsia"/>
          <w:sz w:val="24"/>
        </w:rPr>
        <w:t>1</w:t>
      </w:r>
      <w:r>
        <w:rPr>
          <w:rFonts w:hAnsi="宋体" w:hint="eastAsia"/>
          <w:sz w:val="24"/>
        </w:rPr>
        <w:t>号—主板上市公司规范运作》中规定的不得提供财务资助的情形。</w:t>
      </w:r>
    </w:p>
    <w:p w:rsidR="008D5A91" w:rsidRDefault="008D5A91">
      <w:pPr>
        <w:spacing w:line="400" w:lineRule="exact"/>
        <w:ind w:firstLineChars="200" w:firstLine="480"/>
        <w:rPr>
          <w:rFonts w:hAnsi="宋体" w:hint="eastAsia"/>
          <w:sz w:val="24"/>
        </w:rPr>
      </w:pPr>
      <w:r>
        <w:rPr>
          <w:rFonts w:hAnsi="宋体" w:hint="eastAsia"/>
          <w:sz w:val="24"/>
        </w:rPr>
        <w:t>2</w:t>
      </w:r>
      <w:r>
        <w:rPr>
          <w:rFonts w:hAnsi="宋体" w:hint="eastAsia"/>
          <w:sz w:val="24"/>
        </w:rPr>
        <w:t>、关联关系的说明</w:t>
      </w:r>
    </w:p>
    <w:p w:rsidR="008D5A91" w:rsidRDefault="008D5A91">
      <w:pPr>
        <w:spacing w:line="400" w:lineRule="exact"/>
        <w:ind w:firstLineChars="200" w:firstLine="480"/>
        <w:rPr>
          <w:rFonts w:hAnsi="宋体" w:hint="eastAsia"/>
          <w:sz w:val="24"/>
        </w:rPr>
      </w:pPr>
      <w:r>
        <w:rPr>
          <w:sz w:val="24"/>
        </w:rPr>
        <w:t>公司监事李康女士任潍坊木片码头的董事</w:t>
      </w:r>
      <w:r>
        <w:rPr>
          <w:rFonts w:hint="eastAsia"/>
          <w:sz w:val="24"/>
        </w:rPr>
        <w:t>，</w:t>
      </w:r>
      <w:r>
        <w:rPr>
          <w:sz w:val="24"/>
        </w:rPr>
        <w:t>公司</w:t>
      </w:r>
      <w:r>
        <w:rPr>
          <w:rFonts w:hint="eastAsia"/>
          <w:sz w:val="24"/>
        </w:rPr>
        <w:t>控股股东晨鸣控股有限公司的总经理</w:t>
      </w:r>
      <w:r>
        <w:rPr>
          <w:sz w:val="24"/>
        </w:rPr>
        <w:t>陈刚先生任潍坊木片码头的董事长</w:t>
      </w:r>
      <w:r>
        <w:rPr>
          <w:rFonts w:hint="eastAsia"/>
          <w:sz w:val="24"/>
        </w:rPr>
        <w:t>。依据《深圳证券交易所股票上市规则》</w:t>
      </w:r>
      <w:r>
        <w:rPr>
          <w:rFonts w:hint="eastAsia"/>
          <w:color w:val="000000"/>
          <w:kern w:val="28"/>
          <w:sz w:val="24"/>
        </w:rPr>
        <w:t>6.3.3</w:t>
      </w:r>
      <w:r>
        <w:rPr>
          <w:rFonts w:hint="eastAsia"/>
          <w:sz w:val="24"/>
        </w:rPr>
        <w:t>规定，潍坊木片码头是公司的关联法人，本次财务资助事项构成关联交易。</w:t>
      </w:r>
    </w:p>
    <w:p w:rsidR="008D5A91" w:rsidRDefault="008D5A91">
      <w:pPr>
        <w:spacing w:line="400" w:lineRule="exact"/>
        <w:ind w:firstLineChars="200" w:firstLine="480"/>
        <w:rPr>
          <w:rFonts w:hint="eastAsia"/>
          <w:sz w:val="24"/>
        </w:rPr>
      </w:pPr>
      <w:r>
        <w:rPr>
          <w:rFonts w:hAnsi="宋体" w:hint="eastAsia"/>
          <w:sz w:val="24"/>
        </w:rPr>
        <w:t>3</w:t>
      </w:r>
      <w:r>
        <w:rPr>
          <w:rFonts w:hAnsi="宋体" w:hint="eastAsia"/>
          <w:sz w:val="24"/>
        </w:rPr>
        <w:t>、审批程序</w:t>
      </w:r>
      <w:r>
        <w:rPr>
          <w:sz w:val="24"/>
        </w:rPr>
        <w:t xml:space="preserve"> </w:t>
      </w:r>
    </w:p>
    <w:p w:rsidR="008D5A91" w:rsidRDefault="008D5A91">
      <w:pPr>
        <w:pStyle w:val="a4"/>
        <w:spacing w:line="400" w:lineRule="exact"/>
        <w:ind w:firstLineChars="200" w:firstLine="480"/>
      </w:pPr>
      <w:r>
        <w:rPr>
          <w:rFonts w:hint="eastAsia"/>
        </w:rPr>
        <w:t>2024</w:t>
      </w:r>
      <w:r>
        <w:t>年</w:t>
      </w:r>
      <w:r>
        <w:rPr>
          <w:rFonts w:hint="eastAsia"/>
        </w:rPr>
        <w:t>10</w:t>
      </w:r>
      <w:r>
        <w:t>月</w:t>
      </w:r>
      <w:r>
        <w:rPr>
          <w:rFonts w:hint="eastAsia"/>
        </w:rPr>
        <w:t>30</w:t>
      </w:r>
      <w:r>
        <w:t>日，公司第</w:t>
      </w:r>
      <w:r>
        <w:rPr>
          <w:rFonts w:hint="eastAsia"/>
        </w:rPr>
        <w:t>十</w:t>
      </w:r>
      <w:r>
        <w:t>届董事会第</w:t>
      </w:r>
      <w:r>
        <w:rPr>
          <w:rFonts w:hint="eastAsia"/>
        </w:rPr>
        <w:t>十一次</w:t>
      </w:r>
      <w:r>
        <w:t>会议以</w:t>
      </w:r>
      <w:r>
        <w:rPr>
          <w:rFonts w:hint="eastAsia"/>
        </w:rPr>
        <w:t>11</w:t>
      </w:r>
      <w:r>
        <w:t>票同意，</w:t>
      </w:r>
      <w:r>
        <w:t>0</w:t>
      </w:r>
      <w:r>
        <w:t>票反对，</w:t>
      </w:r>
      <w:r>
        <w:t>0</w:t>
      </w:r>
      <w:r>
        <w:t>票弃权，审议通过了《</w:t>
      </w:r>
      <w:bookmarkStart w:id="5" w:name="OLE_LINK11"/>
      <w:bookmarkStart w:id="6" w:name="OLE_LINK10"/>
      <w:r>
        <w:t>关于</w:t>
      </w:r>
      <w:r>
        <w:rPr>
          <w:rFonts w:hint="eastAsia"/>
        </w:rPr>
        <w:t>为参股公司提供财务资助暨关联交易</w:t>
      </w:r>
      <w:r>
        <w:t>的议案</w:t>
      </w:r>
      <w:bookmarkEnd w:id="5"/>
      <w:bookmarkEnd w:id="6"/>
      <w:r>
        <w:t>》</w:t>
      </w:r>
      <w:r>
        <w:rPr>
          <w:rFonts w:hint="eastAsia"/>
        </w:rPr>
        <w:t>，公司于同日召开</w:t>
      </w:r>
      <w:bookmarkStart w:id="7" w:name="OLE_LINK29"/>
      <w:bookmarkStart w:id="8" w:name="OLE_LINK9"/>
      <w:r>
        <w:rPr>
          <w:rFonts w:hint="eastAsia"/>
        </w:rPr>
        <w:t>第十届董事会独立董事专门会议第二次会议</w:t>
      </w:r>
      <w:bookmarkEnd w:id="7"/>
      <w:bookmarkEnd w:id="8"/>
      <w:r>
        <w:rPr>
          <w:rFonts w:hint="eastAsia"/>
        </w:rPr>
        <w:t>，全体独立董事同意本次为</w:t>
      </w:r>
      <w:r>
        <w:rPr>
          <w:rFonts w:ascii="宋体" w:hAnsi="宋体" w:hint="eastAsia"/>
        </w:rPr>
        <w:t>潍坊木片码头提供财务资助暨关联交易</w:t>
      </w:r>
      <w:r>
        <w:rPr>
          <w:rFonts w:hint="eastAsia"/>
        </w:rPr>
        <w:t>事宜，该议案尚</w:t>
      </w:r>
      <w:r>
        <w:t>需提交</w:t>
      </w:r>
      <w:r>
        <w:rPr>
          <w:rFonts w:hint="eastAsia"/>
        </w:rPr>
        <w:t>2024</w:t>
      </w:r>
      <w:r>
        <w:rPr>
          <w:rFonts w:hint="eastAsia"/>
        </w:rPr>
        <w:t>年第三次临时</w:t>
      </w:r>
      <w:r>
        <w:t>股东大会审议</w:t>
      </w:r>
      <w:r>
        <w:rPr>
          <w:rFonts w:hint="eastAsia"/>
        </w:rPr>
        <w:t>，与该关联交易有利害关系的关联人将回避表决</w:t>
      </w:r>
      <w:r>
        <w:t>。</w:t>
      </w:r>
      <w:r>
        <w:rPr>
          <w:rFonts w:hint="eastAsia"/>
        </w:rPr>
        <w:t>本次交易不构成</w:t>
      </w:r>
      <w:r>
        <w:t>《上市公司重大资产重组管理办法》规定的重大资产重组</w:t>
      </w:r>
      <w:r>
        <w:rPr>
          <w:rFonts w:hint="eastAsia"/>
        </w:rPr>
        <w:t>，无需有关部门批准。</w:t>
      </w:r>
    </w:p>
    <w:p w:rsidR="008D5A91" w:rsidRDefault="008D5A91">
      <w:pPr>
        <w:spacing w:line="400" w:lineRule="exact"/>
        <w:ind w:firstLineChars="150" w:firstLine="361"/>
        <w:outlineLvl w:val="0"/>
        <w:rPr>
          <w:rFonts w:hAnsi="宋体"/>
          <w:b/>
          <w:sz w:val="24"/>
        </w:rPr>
      </w:pPr>
      <w:r>
        <w:rPr>
          <w:rFonts w:hAnsi="宋体"/>
          <w:b/>
          <w:sz w:val="24"/>
        </w:rPr>
        <w:t>二、</w:t>
      </w:r>
      <w:r>
        <w:rPr>
          <w:rFonts w:hAnsi="宋体" w:hint="eastAsia"/>
          <w:b/>
          <w:sz w:val="24"/>
        </w:rPr>
        <w:t>被</w:t>
      </w:r>
      <w:r>
        <w:rPr>
          <w:rFonts w:hAnsi="宋体"/>
          <w:b/>
          <w:sz w:val="24"/>
        </w:rPr>
        <w:t>资助对象的基本情况</w:t>
      </w:r>
    </w:p>
    <w:p w:rsidR="008D5A91" w:rsidRDefault="008D5A91">
      <w:pPr>
        <w:spacing w:line="400" w:lineRule="exact"/>
        <w:ind w:firstLineChars="200" w:firstLine="480"/>
        <w:rPr>
          <w:kern w:val="0"/>
          <w:sz w:val="24"/>
        </w:rPr>
      </w:pPr>
      <w:r>
        <w:rPr>
          <w:sz w:val="24"/>
        </w:rPr>
        <w:t>1</w:t>
      </w:r>
      <w:r>
        <w:rPr>
          <w:rFonts w:hAnsi="宋体"/>
          <w:sz w:val="24"/>
        </w:rPr>
        <w:t>、公司名称：</w:t>
      </w:r>
      <w:r>
        <w:rPr>
          <w:rFonts w:hAnsi="宋体"/>
          <w:kern w:val="0"/>
          <w:sz w:val="24"/>
        </w:rPr>
        <w:t>潍坊港区木片码头有限公司</w:t>
      </w:r>
    </w:p>
    <w:p w:rsidR="008D5A91" w:rsidRDefault="008D5A91">
      <w:pPr>
        <w:spacing w:line="400" w:lineRule="exact"/>
        <w:ind w:firstLineChars="200" w:firstLine="480"/>
        <w:rPr>
          <w:sz w:val="24"/>
        </w:rPr>
      </w:pPr>
      <w:r>
        <w:rPr>
          <w:kern w:val="0"/>
          <w:sz w:val="24"/>
        </w:rPr>
        <w:t>2</w:t>
      </w:r>
      <w:r>
        <w:rPr>
          <w:rFonts w:hAnsi="宋体"/>
          <w:kern w:val="0"/>
          <w:sz w:val="24"/>
        </w:rPr>
        <w:t>、</w:t>
      </w:r>
      <w:r>
        <w:rPr>
          <w:rFonts w:hAnsi="宋体"/>
          <w:sz w:val="24"/>
        </w:rPr>
        <w:t>注册地址：</w:t>
      </w:r>
      <w:r>
        <w:rPr>
          <w:rFonts w:hAnsi="宋体" w:hint="eastAsia"/>
          <w:sz w:val="24"/>
        </w:rPr>
        <w:t>山东省潍坊市滨海区央子街办以北</w:t>
      </w:r>
      <w:r>
        <w:rPr>
          <w:rFonts w:hAnsi="宋体" w:hint="eastAsia"/>
          <w:sz w:val="24"/>
        </w:rPr>
        <w:t>25</w:t>
      </w:r>
      <w:r>
        <w:rPr>
          <w:rFonts w:hAnsi="宋体" w:hint="eastAsia"/>
          <w:sz w:val="24"/>
        </w:rPr>
        <w:t>公里处</w:t>
      </w:r>
    </w:p>
    <w:p w:rsidR="008D5A91" w:rsidRDefault="008D5A91">
      <w:pPr>
        <w:spacing w:line="400" w:lineRule="exact"/>
        <w:ind w:firstLineChars="200" w:firstLine="480"/>
        <w:rPr>
          <w:sz w:val="24"/>
        </w:rPr>
      </w:pPr>
      <w:r>
        <w:rPr>
          <w:sz w:val="24"/>
        </w:rPr>
        <w:t>3</w:t>
      </w:r>
      <w:r>
        <w:rPr>
          <w:rFonts w:hAnsi="宋体"/>
          <w:sz w:val="24"/>
        </w:rPr>
        <w:t>、法人代表：</w:t>
      </w:r>
      <w:r>
        <w:rPr>
          <w:rFonts w:hAnsi="宋体" w:hint="eastAsia"/>
          <w:sz w:val="24"/>
        </w:rPr>
        <w:t>陈刚</w:t>
      </w:r>
    </w:p>
    <w:p w:rsidR="008D5A91" w:rsidRDefault="008D5A91">
      <w:pPr>
        <w:spacing w:line="400" w:lineRule="exact"/>
        <w:ind w:firstLineChars="200" w:firstLine="480"/>
        <w:rPr>
          <w:sz w:val="24"/>
        </w:rPr>
      </w:pPr>
      <w:r>
        <w:rPr>
          <w:sz w:val="24"/>
        </w:rPr>
        <w:t>4</w:t>
      </w:r>
      <w:r>
        <w:rPr>
          <w:rFonts w:hAnsi="宋体"/>
          <w:sz w:val="24"/>
        </w:rPr>
        <w:t>、注册资本：</w:t>
      </w:r>
      <w:r>
        <w:rPr>
          <w:sz w:val="24"/>
        </w:rPr>
        <w:t>20,000</w:t>
      </w:r>
      <w:r>
        <w:rPr>
          <w:rFonts w:hAnsi="宋体"/>
          <w:sz w:val="24"/>
        </w:rPr>
        <w:t>万</w:t>
      </w:r>
      <w:r>
        <w:rPr>
          <w:rFonts w:hAnsi="宋体" w:hint="eastAsia"/>
          <w:sz w:val="24"/>
        </w:rPr>
        <w:t>人民币</w:t>
      </w:r>
    </w:p>
    <w:p w:rsidR="008D5A91" w:rsidRDefault="008D5A91">
      <w:pPr>
        <w:spacing w:line="400" w:lineRule="exact"/>
        <w:ind w:firstLineChars="200" w:firstLine="480"/>
        <w:rPr>
          <w:sz w:val="24"/>
        </w:rPr>
      </w:pPr>
      <w:r>
        <w:rPr>
          <w:sz w:val="24"/>
        </w:rPr>
        <w:t>5</w:t>
      </w:r>
      <w:r>
        <w:rPr>
          <w:rFonts w:hAnsi="宋体"/>
          <w:sz w:val="24"/>
        </w:rPr>
        <w:t>、成立时间：</w:t>
      </w:r>
      <w:r>
        <w:rPr>
          <w:sz w:val="24"/>
        </w:rPr>
        <w:t>2013</w:t>
      </w:r>
      <w:r>
        <w:rPr>
          <w:rFonts w:hAnsi="宋体"/>
          <w:sz w:val="24"/>
        </w:rPr>
        <w:t>年</w:t>
      </w:r>
      <w:r>
        <w:rPr>
          <w:sz w:val="24"/>
        </w:rPr>
        <w:t>6</w:t>
      </w:r>
      <w:r>
        <w:rPr>
          <w:rFonts w:hAnsi="宋体"/>
          <w:sz w:val="24"/>
        </w:rPr>
        <w:t>月</w:t>
      </w:r>
      <w:r>
        <w:rPr>
          <w:sz w:val="24"/>
        </w:rPr>
        <w:t>28</w:t>
      </w:r>
      <w:r>
        <w:rPr>
          <w:rFonts w:hAnsi="宋体"/>
          <w:sz w:val="24"/>
        </w:rPr>
        <w:t>日</w:t>
      </w:r>
    </w:p>
    <w:p w:rsidR="008D5A91" w:rsidRDefault="008D5A91">
      <w:pPr>
        <w:spacing w:line="400" w:lineRule="exact"/>
        <w:ind w:firstLineChars="200" w:firstLine="480"/>
        <w:rPr>
          <w:rFonts w:hAnsi="宋体" w:hint="eastAsia"/>
          <w:sz w:val="24"/>
        </w:rPr>
      </w:pPr>
      <w:r>
        <w:rPr>
          <w:sz w:val="24"/>
        </w:rPr>
        <w:t>6</w:t>
      </w:r>
      <w:r>
        <w:rPr>
          <w:rFonts w:hAnsi="宋体"/>
          <w:sz w:val="24"/>
        </w:rPr>
        <w:t>、经营范围：</w:t>
      </w:r>
      <w:r>
        <w:rPr>
          <w:rFonts w:hAnsi="宋体" w:hint="eastAsia"/>
          <w:sz w:val="24"/>
        </w:rPr>
        <w:t>从事港口建设、管理和经营</w:t>
      </w:r>
      <w:r>
        <w:rPr>
          <w:rFonts w:hAnsi="宋体"/>
          <w:sz w:val="24"/>
        </w:rPr>
        <w:t>。</w:t>
      </w:r>
    </w:p>
    <w:p w:rsidR="008D5A91" w:rsidRDefault="008D5A91">
      <w:pPr>
        <w:spacing w:line="400" w:lineRule="exact"/>
        <w:ind w:firstLineChars="200" w:firstLine="480"/>
        <w:rPr>
          <w:rFonts w:hint="eastAsia"/>
          <w:sz w:val="24"/>
        </w:rPr>
      </w:pPr>
      <w:r>
        <w:rPr>
          <w:rFonts w:hAnsi="宋体" w:hint="eastAsia"/>
          <w:sz w:val="24"/>
        </w:rPr>
        <w:t>7</w:t>
      </w:r>
      <w:r>
        <w:rPr>
          <w:rFonts w:hAnsi="宋体" w:hint="eastAsia"/>
          <w:sz w:val="24"/>
        </w:rPr>
        <w:t>、股权结构</w:t>
      </w:r>
      <w:r>
        <w:rPr>
          <w:rFonts w:hAnsi="宋体"/>
          <w:sz w:val="24"/>
        </w:rPr>
        <w:t>：公司持股比例为</w:t>
      </w:r>
      <w:r>
        <w:rPr>
          <w:sz w:val="24"/>
        </w:rPr>
        <w:t>50%</w:t>
      </w:r>
      <w:r>
        <w:rPr>
          <w:rFonts w:hAnsi="宋体"/>
          <w:sz w:val="24"/>
        </w:rPr>
        <w:t>，</w:t>
      </w:r>
      <w:r>
        <w:rPr>
          <w:rFonts w:hAnsi="宋体" w:hint="eastAsia"/>
          <w:sz w:val="24"/>
        </w:rPr>
        <w:t>山东渤海湾集团</w:t>
      </w:r>
      <w:r>
        <w:rPr>
          <w:rFonts w:hAnsi="宋体"/>
          <w:sz w:val="24"/>
        </w:rPr>
        <w:t>持股比例为</w:t>
      </w:r>
      <w:r>
        <w:rPr>
          <w:sz w:val="24"/>
        </w:rPr>
        <w:t>50%</w:t>
      </w:r>
      <w:r>
        <w:rPr>
          <w:rFonts w:hAnsi="宋体" w:hint="eastAsia"/>
          <w:sz w:val="24"/>
        </w:rPr>
        <w:t>，产权及控制关系如下图：</w:t>
      </w:r>
    </w:p>
    <w:p w:rsidR="008D5A91" w:rsidRDefault="00CF58C9" w:rsidP="00011837">
      <w:pPr>
        <w:spacing w:line="400" w:lineRule="exact"/>
        <w:ind w:firstLineChars="200" w:firstLine="420"/>
        <w:rPr>
          <w:rFonts w:hAnsi="宋体" w:hint="eastAsia"/>
          <w:sz w:val="24"/>
        </w:rPr>
      </w:pPr>
      <w:r>
        <w:rPr>
          <w:noProof/>
        </w:rPr>
        <w:lastRenderedPageBreak/>
        <w:drawing>
          <wp:anchor distT="0" distB="0" distL="114300" distR="114300" simplePos="0" relativeHeight="251657728" behindDoc="0" locked="0" layoutInCell="1" allowOverlap="1">
            <wp:simplePos x="0" y="0"/>
            <wp:positionH relativeFrom="column">
              <wp:posOffset>302260</wp:posOffset>
            </wp:positionH>
            <wp:positionV relativeFrom="paragraph">
              <wp:posOffset>-14605</wp:posOffset>
            </wp:positionV>
            <wp:extent cx="4678045" cy="2864485"/>
            <wp:effectExtent l="0" t="0" r="8255" b="0"/>
            <wp:wrapTopAndBottom/>
            <wp:docPr id="5" name="图片 5" descr="1729924878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7299248782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8045" cy="2864485"/>
                    </a:xfrm>
                    <a:prstGeom prst="rect">
                      <a:avLst/>
                    </a:prstGeom>
                    <a:noFill/>
                    <a:ln>
                      <a:noFill/>
                    </a:ln>
                  </pic:spPr>
                </pic:pic>
              </a:graphicData>
            </a:graphic>
            <wp14:sizeRelH relativeFrom="page">
              <wp14:pctWidth>0</wp14:pctWidth>
            </wp14:sizeRelH>
            <wp14:sizeRelV relativeFrom="page">
              <wp14:pctHeight>0</wp14:pctHeight>
            </wp14:sizeRelV>
          </wp:anchor>
        </w:drawing>
      </w:r>
      <w:r w:rsidR="008D5A91">
        <w:rPr>
          <w:rFonts w:hAnsi="宋体" w:hint="eastAsia"/>
          <w:sz w:val="24"/>
        </w:rPr>
        <w:t>8</w:t>
      </w:r>
      <w:r w:rsidR="008D5A91">
        <w:rPr>
          <w:rFonts w:hAnsi="宋体" w:hint="eastAsia"/>
          <w:sz w:val="24"/>
        </w:rPr>
        <w:t>、主要财务数据</w:t>
      </w:r>
    </w:p>
    <w:p w:rsidR="008D5A91" w:rsidRDefault="008D5A91">
      <w:pPr>
        <w:spacing w:line="420" w:lineRule="exact"/>
        <w:ind w:leftChars="-44" w:left="-92" w:firstLineChars="200" w:firstLine="480"/>
        <w:jc w:val="right"/>
        <w:rPr>
          <w:rFonts w:hAnsi="宋体" w:hint="eastAsia"/>
          <w:sz w:val="24"/>
        </w:rPr>
      </w:pPr>
      <w:r>
        <w:rPr>
          <w:rFonts w:hAnsi="宋体" w:hint="eastAsia"/>
          <w:sz w:val="24"/>
        </w:rPr>
        <w:t>单位：万元</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4"/>
        <w:gridCol w:w="2975"/>
        <w:gridCol w:w="2969"/>
      </w:tblGrid>
      <w:tr w:rsidR="008D5A91">
        <w:trPr>
          <w:cantSplit/>
          <w:trHeight w:val="340"/>
          <w:jc w:val="center"/>
        </w:trPr>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rsidR="008D5A91" w:rsidRDefault="008D5A91">
            <w:pPr>
              <w:spacing w:line="340" w:lineRule="exact"/>
              <w:jc w:val="center"/>
              <w:rPr>
                <w:bCs/>
                <w:szCs w:val="21"/>
              </w:rPr>
            </w:pPr>
            <w:r>
              <w:rPr>
                <w:bCs/>
                <w:szCs w:val="21"/>
              </w:rPr>
              <w:t>项目</w:t>
            </w:r>
          </w:p>
        </w:tc>
        <w:tc>
          <w:tcPr>
            <w:tcW w:w="1545" w:type="pct"/>
            <w:tcBorders>
              <w:top w:val="single" w:sz="4" w:space="0" w:color="auto"/>
              <w:left w:val="nil"/>
              <w:bottom w:val="single" w:sz="4" w:space="0" w:color="auto"/>
              <w:right w:val="single" w:sz="4" w:space="0" w:color="auto"/>
            </w:tcBorders>
            <w:shd w:val="clear" w:color="auto" w:fill="FFFFFF"/>
            <w:vAlign w:val="center"/>
          </w:tcPr>
          <w:p w:rsidR="008D5A91" w:rsidRDefault="008D5A91">
            <w:pPr>
              <w:jc w:val="center"/>
              <w:rPr>
                <w:szCs w:val="21"/>
              </w:rPr>
            </w:pPr>
            <w:r>
              <w:rPr>
                <w:szCs w:val="21"/>
              </w:rPr>
              <w:t>2024</w:t>
            </w:r>
            <w:r>
              <w:rPr>
                <w:szCs w:val="21"/>
              </w:rPr>
              <w:t>年</w:t>
            </w:r>
            <w:r>
              <w:rPr>
                <w:szCs w:val="21"/>
              </w:rPr>
              <w:t>9</w:t>
            </w:r>
            <w:r>
              <w:rPr>
                <w:szCs w:val="21"/>
              </w:rPr>
              <w:t>月</w:t>
            </w:r>
            <w:r>
              <w:rPr>
                <w:szCs w:val="21"/>
              </w:rPr>
              <w:t>30</w:t>
            </w:r>
            <w:r>
              <w:rPr>
                <w:szCs w:val="21"/>
              </w:rPr>
              <w:t>日</w:t>
            </w:r>
          </w:p>
        </w:tc>
        <w:tc>
          <w:tcPr>
            <w:tcW w:w="1542" w:type="pct"/>
            <w:tcBorders>
              <w:top w:val="single" w:sz="4" w:space="0" w:color="auto"/>
              <w:left w:val="nil"/>
              <w:bottom w:val="single" w:sz="4" w:space="0" w:color="auto"/>
              <w:right w:val="single" w:sz="4" w:space="0" w:color="auto"/>
            </w:tcBorders>
            <w:shd w:val="clear" w:color="auto" w:fill="FFFFFF"/>
            <w:vAlign w:val="center"/>
          </w:tcPr>
          <w:p w:rsidR="008D5A91" w:rsidRDefault="008D5A91">
            <w:pPr>
              <w:jc w:val="center"/>
              <w:rPr>
                <w:szCs w:val="21"/>
              </w:rPr>
            </w:pPr>
            <w:r>
              <w:rPr>
                <w:szCs w:val="21"/>
              </w:rPr>
              <w:t>2023</w:t>
            </w:r>
            <w:r>
              <w:rPr>
                <w:szCs w:val="21"/>
              </w:rPr>
              <w:t>年</w:t>
            </w:r>
            <w:r>
              <w:rPr>
                <w:szCs w:val="21"/>
              </w:rPr>
              <w:t>12</w:t>
            </w:r>
            <w:r>
              <w:rPr>
                <w:szCs w:val="21"/>
              </w:rPr>
              <w:t>月</w:t>
            </w:r>
            <w:r>
              <w:rPr>
                <w:szCs w:val="21"/>
              </w:rPr>
              <w:t>31</w:t>
            </w:r>
            <w:r>
              <w:rPr>
                <w:szCs w:val="21"/>
              </w:rPr>
              <w:t>日</w:t>
            </w:r>
          </w:p>
        </w:tc>
      </w:tr>
      <w:tr w:rsidR="008D5A91">
        <w:trPr>
          <w:cantSplit/>
          <w:trHeight w:val="340"/>
          <w:jc w:val="center"/>
        </w:trPr>
        <w:tc>
          <w:tcPr>
            <w:tcW w:w="1913" w:type="pct"/>
            <w:tcBorders>
              <w:top w:val="single" w:sz="4" w:space="0" w:color="auto"/>
              <w:left w:val="single" w:sz="4" w:space="0" w:color="auto"/>
              <w:bottom w:val="single" w:sz="4" w:space="0" w:color="auto"/>
              <w:right w:val="single" w:sz="4" w:space="0" w:color="auto"/>
            </w:tcBorders>
            <w:vAlign w:val="center"/>
          </w:tcPr>
          <w:p w:rsidR="008D5A91" w:rsidRDefault="008D5A91">
            <w:pPr>
              <w:spacing w:line="340" w:lineRule="exact"/>
              <w:rPr>
                <w:szCs w:val="21"/>
              </w:rPr>
            </w:pPr>
            <w:r>
              <w:rPr>
                <w:szCs w:val="21"/>
              </w:rPr>
              <w:t>资产总额</w:t>
            </w:r>
          </w:p>
        </w:tc>
        <w:tc>
          <w:tcPr>
            <w:tcW w:w="1545" w:type="pct"/>
            <w:tcBorders>
              <w:top w:val="single" w:sz="4" w:space="0" w:color="auto"/>
              <w:left w:val="nil"/>
              <w:bottom w:val="single" w:sz="4" w:space="0" w:color="auto"/>
              <w:right w:val="single" w:sz="4" w:space="0" w:color="auto"/>
            </w:tcBorders>
            <w:vAlign w:val="center"/>
          </w:tcPr>
          <w:p w:rsidR="008D5A91" w:rsidRDefault="004F1949">
            <w:pPr>
              <w:jc w:val="right"/>
              <w:rPr>
                <w:szCs w:val="21"/>
              </w:rPr>
            </w:pPr>
            <w:r>
              <w:rPr>
                <w:szCs w:val="21"/>
              </w:rPr>
              <w:t>49,35</w:t>
            </w:r>
            <w:r>
              <w:rPr>
                <w:rFonts w:hint="eastAsia"/>
                <w:szCs w:val="21"/>
              </w:rPr>
              <w:t>0</w:t>
            </w:r>
            <w:r w:rsidR="008D5A91">
              <w:rPr>
                <w:szCs w:val="21"/>
              </w:rPr>
              <w:t>.96</w:t>
            </w:r>
          </w:p>
        </w:tc>
        <w:tc>
          <w:tcPr>
            <w:tcW w:w="1542" w:type="pct"/>
            <w:tcBorders>
              <w:top w:val="single" w:sz="4" w:space="0" w:color="auto"/>
              <w:left w:val="nil"/>
              <w:bottom w:val="single" w:sz="4" w:space="0" w:color="auto"/>
              <w:right w:val="single" w:sz="4" w:space="0" w:color="auto"/>
            </w:tcBorders>
            <w:vAlign w:val="center"/>
          </w:tcPr>
          <w:p w:rsidR="008D5A91" w:rsidRDefault="008D5A91">
            <w:pPr>
              <w:jc w:val="right"/>
              <w:rPr>
                <w:szCs w:val="21"/>
              </w:rPr>
            </w:pPr>
            <w:r>
              <w:rPr>
                <w:szCs w:val="21"/>
              </w:rPr>
              <w:t>50,267.97</w:t>
            </w:r>
          </w:p>
        </w:tc>
      </w:tr>
      <w:tr w:rsidR="008D5A91">
        <w:trPr>
          <w:cantSplit/>
          <w:trHeight w:val="340"/>
          <w:jc w:val="center"/>
        </w:trPr>
        <w:tc>
          <w:tcPr>
            <w:tcW w:w="1913" w:type="pct"/>
            <w:tcBorders>
              <w:top w:val="single" w:sz="4" w:space="0" w:color="auto"/>
              <w:left w:val="single" w:sz="4" w:space="0" w:color="auto"/>
              <w:bottom w:val="single" w:sz="4" w:space="0" w:color="auto"/>
              <w:right w:val="single" w:sz="4" w:space="0" w:color="auto"/>
            </w:tcBorders>
            <w:vAlign w:val="center"/>
          </w:tcPr>
          <w:p w:rsidR="008D5A91" w:rsidRDefault="008D5A91">
            <w:pPr>
              <w:spacing w:line="340" w:lineRule="exact"/>
              <w:rPr>
                <w:szCs w:val="21"/>
              </w:rPr>
            </w:pPr>
            <w:r>
              <w:rPr>
                <w:szCs w:val="21"/>
              </w:rPr>
              <w:t>负债总额</w:t>
            </w:r>
          </w:p>
        </w:tc>
        <w:tc>
          <w:tcPr>
            <w:tcW w:w="1545" w:type="pct"/>
            <w:tcBorders>
              <w:top w:val="single" w:sz="4" w:space="0" w:color="auto"/>
              <w:left w:val="nil"/>
              <w:bottom w:val="single" w:sz="4" w:space="0" w:color="auto"/>
              <w:right w:val="single" w:sz="4" w:space="0" w:color="auto"/>
            </w:tcBorders>
            <w:vAlign w:val="center"/>
          </w:tcPr>
          <w:p w:rsidR="008D5A91" w:rsidRDefault="004F1949">
            <w:pPr>
              <w:jc w:val="right"/>
              <w:rPr>
                <w:szCs w:val="21"/>
              </w:rPr>
            </w:pPr>
            <w:r>
              <w:rPr>
                <w:szCs w:val="21"/>
              </w:rPr>
              <w:t>32,73</w:t>
            </w:r>
            <w:r>
              <w:rPr>
                <w:rFonts w:hint="eastAsia"/>
                <w:szCs w:val="21"/>
              </w:rPr>
              <w:t>3</w:t>
            </w:r>
            <w:r w:rsidR="008D5A91">
              <w:rPr>
                <w:szCs w:val="21"/>
              </w:rPr>
              <w:t>.03</w:t>
            </w:r>
          </w:p>
        </w:tc>
        <w:tc>
          <w:tcPr>
            <w:tcW w:w="1542" w:type="pct"/>
            <w:tcBorders>
              <w:top w:val="single" w:sz="4" w:space="0" w:color="auto"/>
              <w:left w:val="nil"/>
              <w:bottom w:val="single" w:sz="4" w:space="0" w:color="auto"/>
              <w:right w:val="single" w:sz="4" w:space="0" w:color="auto"/>
            </w:tcBorders>
            <w:vAlign w:val="center"/>
          </w:tcPr>
          <w:p w:rsidR="008D5A91" w:rsidRDefault="008D5A91">
            <w:pPr>
              <w:jc w:val="right"/>
              <w:rPr>
                <w:szCs w:val="21"/>
              </w:rPr>
            </w:pPr>
            <w:r>
              <w:rPr>
                <w:szCs w:val="21"/>
              </w:rPr>
              <w:t>35,949.11</w:t>
            </w:r>
          </w:p>
        </w:tc>
      </w:tr>
      <w:tr w:rsidR="008D5A91">
        <w:trPr>
          <w:cantSplit/>
          <w:trHeight w:val="340"/>
          <w:jc w:val="center"/>
        </w:trPr>
        <w:tc>
          <w:tcPr>
            <w:tcW w:w="1913" w:type="pct"/>
            <w:tcBorders>
              <w:top w:val="single" w:sz="4" w:space="0" w:color="auto"/>
              <w:left w:val="single" w:sz="4" w:space="0" w:color="auto"/>
              <w:bottom w:val="single" w:sz="4" w:space="0" w:color="auto"/>
              <w:right w:val="single" w:sz="4" w:space="0" w:color="auto"/>
            </w:tcBorders>
            <w:vAlign w:val="center"/>
          </w:tcPr>
          <w:p w:rsidR="008D5A91" w:rsidRDefault="008D5A91">
            <w:pPr>
              <w:spacing w:line="340" w:lineRule="exact"/>
              <w:rPr>
                <w:szCs w:val="21"/>
              </w:rPr>
            </w:pPr>
            <w:r>
              <w:rPr>
                <w:rFonts w:hint="eastAsia"/>
                <w:szCs w:val="21"/>
              </w:rPr>
              <w:t>股东</w:t>
            </w:r>
            <w:r>
              <w:rPr>
                <w:szCs w:val="21"/>
              </w:rPr>
              <w:t>权益合计</w:t>
            </w:r>
          </w:p>
        </w:tc>
        <w:tc>
          <w:tcPr>
            <w:tcW w:w="1545" w:type="pct"/>
            <w:tcBorders>
              <w:top w:val="single" w:sz="4" w:space="0" w:color="auto"/>
              <w:left w:val="nil"/>
              <w:bottom w:val="single" w:sz="4" w:space="0" w:color="auto"/>
              <w:right w:val="single" w:sz="4" w:space="0" w:color="auto"/>
            </w:tcBorders>
            <w:vAlign w:val="center"/>
          </w:tcPr>
          <w:p w:rsidR="008D5A91" w:rsidRDefault="008D5A91">
            <w:pPr>
              <w:jc w:val="right"/>
              <w:rPr>
                <w:szCs w:val="21"/>
              </w:rPr>
            </w:pPr>
            <w:r>
              <w:rPr>
                <w:szCs w:val="21"/>
              </w:rPr>
              <w:t>16,617.93</w:t>
            </w:r>
          </w:p>
        </w:tc>
        <w:tc>
          <w:tcPr>
            <w:tcW w:w="1542" w:type="pct"/>
            <w:tcBorders>
              <w:top w:val="single" w:sz="4" w:space="0" w:color="auto"/>
              <w:left w:val="nil"/>
              <w:bottom w:val="single" w:sz="4" w:space="0" w:color="auto"/>
              <w:right w:val="single" w:sz="4" w:space="0" w:color="auto"/>
            </w:tcBorders>
            <w:vAlign w:val="center"/>
          </w:tcPr>
          <w:p w:rsidR="008D5A91" w:rsidRDefault="008D5A91">
            <w:pPr>
              <w:jc w:val="right"/>
              <w:rPr>
                <w:szCs w:val="21"/>
              </w:rPr>
            </w:pPr>
            <w:r>
              <w:rPr>
                <w:szCs w:val="21"/>
              </w:rPr>
              <w:t>14,318.86</w:t>
            </w:r>
          </w:p>
        </w:tc>
      </w:tr>
      <w:tr w:rsidR="008D5A91">
        <w:trPr>
          <w:cantSplit/>
          <w:trHeight w:val="340"/>
          <w:jc w:val="center"/>
        </w:trPr>
        <w:tc>
          <w:tcPr>
            <w:tcW w:w="1913" w:type="pct"/>
            <w:tcBorders>
              <w:top w:val="single" w:sz="4" w:space="0" w:color="auto"/>
              <w:left w:val="single" w:sz="4" w:space="0" w:color="auto"/>
              <w:bottom w:val="single" w:sz="4" w:space="0" w:color="auto"/>
              <w:right w:val="single" w:sz="4" w:space="0" w:color="auto"/>
            </w:tcBorders>
            <w:vAlign w:val="center"/>
          </w:tcPr>
          <w:p w:rsidR="008D5A91" w:rsidRDefault="008D5A91">
            <w:pPr>
              <w:spacing w:line="340" w:lineRule="exact"/>
              <w:jc w:val="center"/>
              <w:rPr>
                <w:bCs/>
                <w:szCs w:val="21"/>
              </w:rPr>
            </w:pPr>
            <w:r>
              <w:rPr>
                <w:bCs/>
                <w:szCs w:val="21"/>
              </w:rPr>
              <w:t>项目</w:t>
            </w:r>
          </w:p>
        </w:tc>
        <w:tc>
          <w:tcPr>
            <w:tcW w:w="1545" w:type="pct"/>
            <w:tcBorders>
              <w:top w:val="single" w:sz="4" w:space="0" w:color="auto"/>
              <w:left w:val="nil"/>
              <w:bottom w:val="single" w:sz="4" w:space="0" w:color="auto"/>
              <w:right w:val="single" w:sz="4" w:space="0" w:color="auto"/>
            </w:tcBorders>
            <w:vAlign w:val="center"/>
          </w:tcPr>
          <w:p w:rsidR="008D5A91" w:rsidRDefault="008D5A91">
            <w:pPr>
              <w:jc w:val="center"/>
              <w:rPr>
                <w:szCs w:val="21"/>
              </w:rPr>
            </w:pPr>
            <w:r>
              <w:rPr>
                <w:szCs w:val="21"/>
              </w:rPr>
              <w:t>2024</w:t>
            </w:r>
            <w:r>
              <w:rPr>
                <w:rFonts w:hint="eastAsia"/>
                <w:szCs w:val="21"/>
              </w:rPr>
              <w:t>年</w:t>
            </w:r>
            <w:r>
              <w:rPr>
                <w:szCs w:val="21"/>
              </w:rPr>
              <w:t>1-9</w:t>
            </w:r>
            <w:r>
              <w:rPr>
                <w:rFonts w:hint="eastAsia"/>
                <w:szCs w:val="21"/>
              </w:rPr>
              <w:t>月</w:t>
            </w:r>
          </w:p>
        </w:tc>
        <w:tc>
          <w:tcPr>
            <w:tcW w:w="1542" w:type="pct"/>
            <w:tcBorders>
              <w:top w:val="single" w:sz="4" w:space="0" w:color="auto"/>
              <w:left w:val="nil"/>
              <w:bottom w:val="single" w:sz="4" w:space="0" w:color="auto"/>
              <w:right w:val="single" w:sz="4" w:space="0" w:color="auto"/>
            </w:tcBorders>
            <w:vAlign w:val="center"/>
          </w:tcPr>
          <w:p w:rsidR="008D5A91" w:rsidRDefault="008D5A91">
            <w:pPr>
              <w:jc w:val="center"/>
              <w:rPr>
                <w:szCs w:val="21"/>
              </w:rPr>
            </w:pPr>
            <w:r>
              <w:rPr>
                <w:szCs w:val="21"/>
              </w:rPr>
              <w:t>2023</w:t>
            </w:r>
            <w:r>
              <w:rPr>
                <w:rFonts w:hint="eastAsia"/>
                <w:szCs w:val="21"/>
              </w:rPr>
              <w:t>年度</w:t>
            </w:r>
          </w:p>
        </w:tc>
      </w:tr>
      <w:tr w:rsidR="008D5A91">
        <w:trPr>
          <w:cantSplit/>
          <w:trHeight w:val="340"/>
          <w:jc w:val="center"/>
        </w:trPr>
        <w:tc>
          <w:tcPr>
            <w:tcW w:w="1913" w:type="pct"/>
            <w:tcBorders>
              <w:top w:val="single" w:sz="4" w:space="0" w:color="auto"/>
              <w:left w:val="single" w:sz="4" w:space="0" w:color="auto"/>
              <w:bottom w:val="single" w:sz="4" w:space="0" w:color="auto"/>
              <w:right w:val="single" w:sz="4" w:space="0" w:color="auto"/>
            </w:tcBorders>
            <w:vAlign w:val="center"/>
          </w:tcPr>
          <w:p w:rsidR="008D5A91" w:rsidRDefault="008D5A91">
            <w:pPr>
              <w:spacing w:line="340" w:lineRule="exact"/>
              <w:rPr>
                <w:szCs w:val="21"/>
              </w:rPr>
            </w:pPr>
            <w:r>
              <w:rPr>
                <w:szCs w:val="21"/>
              </w:rPr>
              <w:t>营业收入</w:t>
            </w:r>
          </w:p>
        </w:tc>
        <w:tc>
          <w:tcPr>
            <w:tcW w:w="1545" w:type="pct"/>
            <w:tcBorders>
              <w:top w:val="single" w:sz="4" w:space="0" w:color="auto"/>
              <w:left w:val="nil"/>
              <w:bottom w:val="single" w:sz="4" w:space="0" w:color="auto"/>
              <w:right w:val="single" w:sz="4" w:space="0" w:color="auto"/>
            </w:tcBorders>
            <w:vAlign w:val="center"/>
          </w:tcPr>
          <w:p w:rsidR="008D5A91" w:rsidRDefault="008D5A91">
            <w:pPr>
              <w:jc w:val="right"/>
              <w:rPr>
                <w:szCs w:val="21"/>
              </w:rPr>
            </w:pPr>
            <w:r>
              <w:rPr>
                <w:szCs w:val="21"/>
              </w:rPr>
              <w:t>7,736.72</w:t>
            </w:r>
          </w:p>
        </w:tc>
        <w:tc>
          <w:tcPr>
            <w:tcW w:w="1542" w:type="pct"/>
            <w:tcBorders>
              <w:top w:val="single" w:sz="4" w:space="0" w:color="auto"/>
              <w:left w:val="nil"/>
              <w:bottom w:val="single" w:sz="4" w:space="0" w:color="auto"/>
              <w:right w:val="single" w:sz="4" w:space="0" w:color="auto"/>
            </w:tcBorders>
            <w:vAlign w:val="center"/>
          </w:tcPr>
          <w:p w:rsidR="008D5A91" w:rsidRDefault="008D5A91">
            <w:pPr>
              <w:jc w:val="right"/>
              <w:rPr>
                <w:szCs w:val="21"/>
              </w:rPr>
            </w:pPr>
            <w:r>
              <w:rPr>
                <w:szCs w:val="21"/>
              </w:rPr>
              <w:t>7,697.19</w:t>
            </w:r>
          </w:p>
        </w:tc>
      </w:tr>
      <w:tr w:rsidR="008D5A91">
        <w:trPr>
          <w:cantSplit/>
          <w:trHeight w:val="340"/>
          <w:jc w:val="center"/>
        </w:trPr>
        <w:tc>
          <w:tcPr>
            <w:tcW w:w="1913" w:type="pct"/>
            <w:tcBorders>
              <w:top w:val="single" w:sz="4" w:space="0" w:color="auto"/>
              <w:left w:val="single" w:sz="4" w:space="0" w:color="auto"/>
              <w:bottom w:val="single" w:sz="4" w:space="0" w:color="auto"/>
              <w:right w:val="single" w:sz="4" w:space="0" w:color="auto"/>
            </w:tcBorders>
            <w:vAlign w:val="center"/>
          </w:tcPr>
          <w:p w:rsidR="008D5A91" w:rsidRDefault="008D5A91">
            <w:pPr>
              <w:spacing w:line="340" w:lineRule="exact"/>
              <w:rPr>
                <w:szCs w:val="21"/>
              </w:rPr>
            </w:pPr>
            <w:r>
              <w:rPr>
                <w:szCs w:val="21"/>
              </w:rPr>
              <w:t>营业利润</w:t>
            </w:r>
          </w:p>
        </w:tc>
        <w:tc>
          <w:tcPr>
            <w:tcW w:w="1545" w:type="pct"/>
            <w:tcBorders>
              <w:top w:val="single" w:sz="4" w:space="0" w:color="auto"/>
              <w:left w:val="nil"/>
              <w:bottom w:val="single" w:sz="4" w:space="0" w:color="auto"/>
              <w:right w:val="single" w:sz="4" w:space="0" w:color="auto"/>
            </w:tcBorders>
            <w:vAlign w:val="center"/>
          </w:tcPr>
          <w:p w:rsidR="008D5A91" w:rsidRDefault="008D5A91">
            <w:pPr>
              <w:jc w:val="right"/>
              <w:rPr>
                <w:szCs w:val="21"/>
              </w:rPr>
            </w:pPr>
            <w:r>
              <w:rPr>
                <w:szCs w:val="21"/>
              </w:rPr>
              <w:t>2,263.00</w:t>
            </w:r>
          </w:p>
        </w:tc>
        <w:tc>
          <w:tcPr>
            <w:tcW w:w="1542" w:type="pct"/>
            <w:tcBorders>
              <w:top w:val="single" w:sz="4" w:space="0" w:color="auto"/>
              <w:left w:val="nil"/>
              <w:bottom w:val="single" w:sz="4" w:space="0" w:color="auto"/>
              <w:right w:val="single" w:sz="4" w:space="0" w:color="auto"/>
            </w:tcBorders>
            <w:vAlign w:val="center"/>
          </w:tcPr>
          <w:p w:rsidR="008D5A91" w:rsidRDefault="008D5A91">
            <w:pPr>
              <w:jc w:val="right"/>
              <w:rPr>
                <w:szCs w:val="21"/>
              </w:rPr>
            </w:pPr>
            <w:r>
              <w:rPr>
                <w:szCs w:val="21"/>
              </w:rPr>
              <w:t>826.84</w:t>
            </w:r>
          </w:p>
        </w:tc>
      </w:tr>
      <w:tr w:rsidR="008D5A91">
        <w:trPr>
          <w:cantSplit/>
          <w:trHeight w:val="340"/>
          <w:jc w:val="center"/>
        </w:trPr>
        <w:tc>
          <w:tcPr>
            <w:tcW w:w="1913" w:type="pct"/>
            <w:tcBorders>
              <w:top w:val="single" w:sz="4" w:space="0" w:color="auto"/>
              <w:left w:val="single" w:sz="4" w:space="0" w:color="auto"/>
              <w:bottom w:val="single" w:sz="4" w:space="0" w:color="auto"/>
              <w:right w:val="single" w:sz="4" w:space="0" w:color="auto"/>
            </w:tcBorders>
            <w:vAlign w:val="center"/>
          </w:tcPr>
          <w:p w:rsidR="008D5A91" w:rsidRDefault="008D5A91">
            <w:pPr>
              <w:spacing w:line="340" w:lineRule="exact"/>
              <w:rPr>
                <w:szCs w:val="21"/>
              </w:rPr>
            </w:pPr>
            <w:r>
              <w:rPr>
                <w:szCs w:val="21"/>
              </w:rPr>
              <w:t>净利润</w:t>
            </w:r>
          </w:p>
        </w:tc>
        <w:tc>
          <w:tcPr>
            <w:tcW w:w="1545" w:type="pct"/>
            <w:tcBorders>
              <w:top w:val="single" w:sz="4" w:space="0" w:color="auto"/>
              <w:left w:val="nil"/>
              <w:bottom w:val="single" w:sz="4" w:space="0" w:color="auto"/>
              <w:right w:val="single" w:sz="4" w:space="0" w:color="auto"/>
            </w:tcBorders>
            <w:vAlign w:val="center"/>
          </w:tcPr>
          <w:p w:rsidR="008D5A91" w:rsidRDefault="008D5A91">
            <w:pPr>
              <w:jc w:val="right"/>
              <w:rPr>
                <w:szCs w:val="21"/>
              </w:rPr>
            </w:pPr>
            <w:r>
              <w:rPr>
                <w:szCs w:val="21"/>
              </w:rPr>
              <w:t>2,278.71</w:t>
            </w:r>
          </w:p>
        </w:tc>
        <w:tc>
          <w:tcPr>
            <w:tcW w:w="1542" w:type="pct"/>
            <w:tcBorders>
              <w:top w:val="single" w:sz="4" w:space="0" w:color="auto"/>
              <w:left w:val="nil"/>
              <w:bottom w:val="single" w:sz="4" w:space="0" w:color="auto"/>
              <w:right w:val="single" w:sz="4" w:space="0" w:color="auto"/>
            </w:tcBorders>
            <w:vAlign w:val="center"/>
          </w:tcPr>
          <w:p w:rsidR="008D5A91" w:rsidRDefault="008D5A91">
            <w:pPr>
              <w:jc w:val="right"/>
              <w:rPr>
                <w:szCs w:val="21"/>
              </w:rPr>
            </w:pPr>
            <w:r>
              <w:rPr>
                <w:szCs w:val="21"/>
              </w:rPr>
              <w:t>858.70</w:t>
            </w:r>
          </w:p>
        </w:tc>
      </w:tr>
    </w:tbl>
    <w:p w:rsidR="008D5A91" w:rsidRDefault="008D5A91">
      <w:pPr>
        <w:spacing w:line="420" w:lineRule="exact"/>
        <w:ind w:leftChars="-44" w:left="-92" w:firstLineChars="200" w:firstLine="480"/>
        <w:rPr>
          <w:rFonts w:hAnsi="宋体" w:hint="eastAsia"/>
          <w:sz w:val="24"/>
        </w:rPr>
      </w:pPr>
      <w:r>
        <w:rPr>
          <w:rFonts w:hint="eastAsia"/>
          <w:sz w:val="24"/>
        </w:rPr>
        <w:t>注：</w:t>
      </w:r>
      <w:r>
        <w:rPr>
          <w:rFonts w:hint="eastAsia"/>
          <w:sz w:val="24"/>
        </w:rPr>
        <w:t>2023</w:t>
      </w:r>
      <w:r>
        <w:rPr>
          <w:rFonts w:hint="eastAsia"/>
          <w:sz w:val="24"/>
        </w:rPr>
        <w:t>年度财务数据已经审计，</w:t>
      </w:r>
      <w:r>
        <w:rPr>
          <w:rFonts w:hint="eastAsia"/>
          <w:sz w:val="24"/>
        </w:rPr>
        <w:t>2024</w:t>
      </w:r>
      <w:r>
        <w:rPr>
          <w:rFonts w:hint="eastAsia"/>
          <w:sz w:val="24"/>
        </w:rPr>
        <w:t>年</w:t>
      </w:r>
      <w:r>
        <w:rPr>
          <w:rFonts w:hint="eastAsia"/>
          <w:sz w:val="24"/>
        </w:rPr>
        <w:t>1-9</w:t>
      </w:r>
      <w:r>
        <w:rPr>
          <w:rFonts w:hint="eastAsia"/>
          <w:sz w:val="24"/>
        </w:rPr>
        <w:t>月份数据未经审计。</w:t>
      </w:r>
    </w:p>
    <w:p w:rsidR="008D5A91" w:rsidRDefault="008D5A91">
      <w:pPr>
        <w:spacing w:line="400" w:lineRule="exact"/>
        <w:ind w:firstLineChars="200" w:firstLine="480"/>
        <w:rPr>
          <w:rFonts w:hint="eastAsia"/>
          <w:sz w:val="24"/>
        </w:rPr>
      </w:pPr>
      <w:r>
        <w:rPr>
          <w:rFonts w:hint="eastAsia"/>
          <w:sz w:val="24"/>
        </w:rPr>
        <w:t>9</w:t>
      </w:r>
      <w:r>
        <w:rPr>
          <w:rFonts w:hint="eastAsia"/>
          <w:sz w:val="24"/>
        </w:rPr>
        <w:t>、关联关系：</w:t>
      </w:r>
      <w:r>
        <w:rPr>
          <w:rFonts w:ascii="宋体" w:hAnsi="宋体"/>
          <w:sz w:val="24"/>
        </w:rPr>
        <w:t>潍坊木片码头</w:t>
      </w:r>
      <w:r>
        <w:rPr>
          <w:rFonts w:ascii="宋体" w:hAnsi="宋体" w:hint="eastAsia"/>
          <w:sz w:val="24"/>
        </w:rPr>
        <w:t>为公司的参股公司，</w:t>
      </w:r>
      <w:r>
        <w:rPr>
          <w:sz w:val="24"/>
        </w:rPr>
        <w:t>公司监事李康女士任潍坊木片码头的董事</w:t>
      </w:r>
      <w:r>
        <w:rPr>
          <w:rFonts w:hint="eastAsia"/>
          <w:sz w:val="24"/>
        </w:rPr>
        <w:t>，</w:t>
      </w:r>
      <w:r>
        <w:rPr>
          <w:sz w:val="24"/>
        </w:rPr>
        <w:t>公司</w:t>
      </w:r>
      <w:r>
        <w:rPr>
          <w:rFonts w:hint="eastAsia"/>
          <w:sz w:val="24"/>
        </w:rPr>
        <w:t>控股股东晨鸣控股有限公司的总经理</w:t>
      </w:r>
      <w:r>
        <w:rPr>
          <w:sz w:val="24"/>
        </w:rPr>
        <w:t>陈刚先生任潍坊木片码头的董事长</w:t>
      </w:r>
      <w:r>
        <w:rPr>
          <w:rFonts w:hint="eastAsia"/>
          <w:sz w:val="24"/>
        </w:rPr>
        <w:t>。</w:t>
      </w:r>
    </w:p>
    <w:p w:rsidR="008D5A91" w:rsidRDefault="008D5A91">
      <w:pPr>
        <w:spacing w:line="400" w:lineRule="exact"/>
        <w:ind w:firstLineChars="200" w:firstLine="480"/>
        <w:rPr>
          <w:rFonts w:hint="eastAsia"/>
          <w:sz w:val="24"/>
        </w:rPr>
      </w:pPr>
      <w:r>
        <w:rPr>
          <w:rFonts w:hint="eastAsia"/>
          <w:sz w:val="24"/>
        </w:rPr>
        <w:t>10</w:t>
      </w:r>
      <w:r>
        <w:rPr>
          <w:rFonts w:hint="eastAsia"/>
          <w:sz w:val="24"/>
        </w:rPr>
        <w:t>、公司在上一会计年度对</w:t>
      </w:r>
      <w:r>
        <w:rPr>
          <w:sz w:val="24"/>
        </w:rPr>
        <w:t>潍坊木片码头</w:t>
      </w:r>
      <w:r>
        <w:rPr>
          <w:rFonts w:hint="eastAsia"/>
          <w:sz w:val="24"/>
        </w:rPr>
        <w:t>提供财务资助金额为人民币</w:t>
      </w:r>
      <w:r w:rsidR="004F1949">
        <w:rPr>
          <w:rFonts w:hint="eastAsia"/>
          <w:sz w:val="24"/>
        </w:rPr>
        <w:t>7,551.18</w:t>
      </w:r>
      <w:r>
        <w:rPr>
          <w:rFonts w:hint="eastAsia"/>
          <w:sz w:val="24"/>
        </w:rPr>
        <w:t>万元，</w:t>
      </w:r>
      <w:r w:rsidR="005B7802">
        <w:rPr>
          <w:rFonts w:hint="eastAsia"/>
          <w:sz w:val="24"/>
        </w:rPr>
        <w:t>截至本公告披露日，公司对</w:t>
      </w:r>
      <w:r w:rsidR="005B7802">
        <w:rPr>
          <w:sz w:val="24"/>
        </w:rPr>
        <w:t>潍坊木片码头</w:t>
      </w:r>
      <w:r w:rsidR="005B7802">
        <w:rPr>
          <w:rFonts w:hint="eastAsia"/>
          <w:sz w:val="24"/>
        </w:rPr>
        <w:t>的财务资助余额为</w:t>
      </w:r>
      <w:r w:rsidR="00575C60">
        <w:rPr>
          <w:rFonts w:hint="eastAsia"/>
          <w:sz w:val="24"/>
        </w:rPr>
        <w:t>人民币</w:t>
      </w:r>
      <w:r w:rsidR="003F2A67">
        <w:rPr>
          <w:rFonts w:hint="eastAsia"/>
          <w:sz w:val="24"/>
        </w:rPr>
        <w:t>7,875.72</w:t>
      </w:r>
      <w:r w:rsidR="00575C60">
        <w:rPr>
          <w:rFonts w:hint="eastAsia"/>
          <w:sz w:val="24"/>
        </w:rPr>
        <w:t>万元，</w:t>
      </w:r>
      <w:r>
        <w:rPr>
          <w:rFonts w:hint="eastAsia"/>
          <w:sz w:val="24"/>
        </w:rPr>
        <w:t>不存在财务资助到期后未能及时清偿的情形。</w:t>
      </w:r>
    </w:p>
    <w:p w:rsidR="008D5A91" w:rsidRDefault="008D5A91">
      <w:pPr>
        <w:spacing w:line="400" w:lineRule="exact"/>
        <w:ind w:firstLineChars="200" w:firstLine="480"/>
        <w:rPr>
          <w:rFonts w:hint="eastAsia"/>
          <w:sz w:val="24"/>
        </w:rPr>
      </w:pPr>
      <w:r>
        <w:rPr>
          <w:rFonts w:hint="eastAsia"/>
          <w:sz w:val="24"/>
        </w:rPr>
        <w:t>11</w:t>
      </w:r>
      <w:r>
        <w:rPr>
          <w:rFonts w:hint="eastAsia"/>
          <w:sz w:val="24"/>
        </w:rPr>
        <w:t>、潍坊木片码头为非失信被执行人，其资信状况良好，</w:t>
      </w:r>
      <w:r>
        <w:rPr>
          <w:sz w:val="24"/>
        </w:rPr>
        <w:t>不存在履约能力障碍</w:t>
      </w:r>
      <w:r>
        <w:rPr>
          <w:rFonts w:hint="eastAsia"/>
          <w:sz w:val="24"/>
        </w:rPr>
        <w:t>。</w:t>
      </w:r>
    </w:p>
    <w:p w:rsidR="008D5A91" w:rsidRDefault="008D5A91">
      <w:pPr>
        <w:spacing w:line="400" w:lineRule="exact"/>
        <w:ind w:firstLineChars="150" w:firstLine="361"/>
        <w:outlineLvl w:val="0"/>
        <w:rPr>
          <w:rFonts w:hAnsi="宋体" w:hint="eastAsia"/>
          <w:b/>
          <w:sz w:val="24"/>
        </w:rPr>
      </w:pPr>
      <w:r>
        <w:rPr>
          <w:rFonts w:hAnsi="宋体" w:hint="eastAsia"/>
          <w:b/>
          <w:sz w:val="24"/>
        </w:rPr>
        <w:t>三、被资助对象其他股东的基本情况</w:t>
      </w:r>
    </w:p>
    <w:p w:rsidR="008D5A91" w:rsidRDefault="008D5A91">
      <w:pPr>
        <w:spacing w:line="400" w:lineRule="exact"/>
        <w:ind w:firstLineChars="200" w:firstLine="480"/>
        <w:rPr>
          <w:kern w:val="0"/>
          <w:sz w:val="24"/>
        </w:rPr>
      </w:pPr>
      <w:r>
        <w:rPr>
          <w:sz w:val="24"/>
        </w:rPr>
        <w:t>1</w:t>
      </w:r>
      <w:r>
        <w:rPr>
          <w:rFonts w:hAnsi="宋体"/>
          <w:sz w:val="24"/>
        </w:rPr>
        <w:t>、公司名称：</w:t>
      </w:r>
      <w:r>
        <w:rPr>
          <w:rFonts w:hAnsi="宋体" w:hint="eastAsia"/>
          <w:kern w:val="0"/>
          <w:sz w:val="24"/>
        </w:rPr>
        <w:t>山东港口渤海湾港集团有限公司</w:t>
      </w:r>
    </w:p>
    <w:p w:rsidR="008D5A91" w:rsidRDefault="008D5A91">
      <w:pPr>
        <w:spacing w:line="400" w:lineRule="exact"/>
        <w:ind w:firstLineChars="200" w:firstLine="480"/>
        <w:rPr>
          <w:sz w:val="24"/>
        </w:rPr>
      </w:pPr>
      <w:r>
        <w:rPr>
          <w:kern w:val="0"/>
          <w:sz w:val="24"/>
        </w:rPr>
        <w:t>2</w:t>
      </w:r>
      <w:r>
        <w:rPr>
          <w:rFonts w:hAnsi="宋体"/>
          <w:kern w:val="0"/>
          <w:sz w:val="24"/>
        </w:rPr>
        <w:t>、</w:t>
      </w:r>
      <w:r>
        <w:rPr>
          <w:rFonts w:hAnsi="宋体"/>
          <w:sz w:val="24"/>
        </w:rPr>
        <w:t>注册地址：</w:t>
      </w:r>
      <w:r>
        <w:rPr>
          <w:rFonts w:hAnsi="宋体" w:hint="eastAsia"/>
          <w:sz w:val="24"/>
        </w:rPr>
        <w:t>山东省潍坊高新区清池街道花园社区健康东街</w:t>
      </w:r>
      <w:r>
        <w:rPr>
          <w:rFonts w:hAnsi="宋体" w:hint="eastAsia"/>
          <w:sz w:val="24"/>
        </w:rPr>
        <w:t>6888</w:t>
      </w:r>
      <w:r>
        <w:rPr>
          <w:rFonts w:hAnsi="宋体" w:hint="eastAsia"/>
          <w:sz w:val="24"/>
        </w:rPr>
        <w:t>号蓝色智谷</w:t>
      </w:r>
      <w:r>
        <w:rPr>
          <w:rFonts w:hAnsi="宋体" w:hint="eastAsia"/>
          <w:sz w:val="24"/>
        </w:rPr>
        <w:t>B4</w:t>
      </w:r>
      <w:r>
        <w:rPr>
          <w:rFonts w:hAnsi="宋体" w:hint="eastAsia"/>
          <w:sz w:val="24"/>
        </w:rPr>
        <w:t>号楼</w:t>
      </w:r>
    </w:p>
    <w:p w:rsidR="008D5A91" w:rsidRDefault="008D5A91">
      <w:pPr>
        <w:spacing w:line="400" w:lineRule="exact"/>
        <w:ind w:firstLineChars="200" w:firstLine="480"/>
        <w:rPr>
          <w:sz w:val="24"/>
        </w:rPr>
      </w:pPr>
      <w:r>
        <w:rPr>
          <w:sz w:val="24"/>
        </w:rPr>
        <w:t>3</w:t>
      </w:r>
      <w:r>
        <w:rPr>
          <w:rFonts w:hAnsi="宋体"/>
          <w:sz w:val="24"/>
        </w:rPr>
        <w:t>、法人代表：</w:t>
      </w:r>
      <w:r>
        <w:rPr>
          <w:rFonts w:hAnsi="宋体" w:hint="eastAsia"/>
          <w:sz w:val="24"/>
        </w:rPr>
        <w:t>张海军</w:t>
      </w:r>
    </w:p>
    <w:p w:rsidR="008D5A91" w:rsidRDefault="008D5A91">
      <w:pPr>
        <w:spacing w:line="400" w:lineRule="exact"/>
        <w:ind w:firstLineChars="200" w:firstLine="480"/>
        <w:rPr>
          <w:sz w:val="24"/>
        </w:rPr>
      </w:pPr>
      <w:r>
        <w:rPr>
          <w:sz w:val="24"/>
        </w:rPr>
        <w:t>4</w:t>
      </w:r>
      <w:r>
        <w:rPr>
          <w:rFonts w:hAnsi="宋体"/>
          <w:sz w:val="24"/>
        </w:rPr>
        <w:t>、注册资本：</w:t>
      </w:r>
      <w:r w:rsidR="004F1949">
        <w:rPr>
          <w:rFonts w:hint="eastAsia"/>
          <w:sz w:val="24"/>
        </w:rPr>
        <w:t>1,350,000</w:t>
      </w:r>
      <w:r>
        <w:rPr>
          <w:rFonts w:hint="eastAsia"/>
          <w:sz w:val="24"/>
        </w:rPr>
        <w:t>万人民币</w:t>
      </w:r>
    </w:p>
    <w:p w:rsidR="008D5A91" w:rsidRDefault="008D5A91">
      <w:pPr>
        <w:spacing w:line="400" w:lineRule="exact"/>
        <w:ind w:firstLineChars="200" w:firstLine="480"/>
        <w:rPr>
          <w:sz w:val="24"/>
        </w:rPr>
      </w:pPr>
      <w:r>
        <w:rPr>
          <w:sz w:val="24"/>
        </w:rPr>
        <w:t>5</w:t>
      </w:r>
      <w:r>
        <w:rPr>
          <w:rFonts w:hAnsi="宋体"/>
          <w:sz w:val="24"/>
        </w:rPr>
        <w:t>、成立时间：</w:t>
      </w:r>
      <w:r>
        <w:rPr>
          <w:sz w:val="24"/>
        </w:rPr>
        <w:t>201</w:t>
      </w:r>
      <w:r>
        <w:rPr>
          <w:rFonts w:hint="eastAsia"/>
          <w:sz w:val="24"/>
        </w:rPr>
        <w:t>8</w:t>
      </w:r>
      <w:r>
        <w:rPr>
          <w:rFonts w:hAnsi="宋体"/>
          <w:sz w:val="24"/>
        </w:rPr>
        <w:t>年</w:t>
      </w:r>
      <w:r>
        <w:rPr>
          <w:rFonts w:hint="eastAsia"/>
          <w:sz w:val="24"/>
        </w:rPr>
        <w:t>3</w:t>
      </w:r>
      <w:r>
        <w:rPr>
          <w:rFonts w:hAnsi="宋体"/>
          <w:sz w:val="24"/>
        </w:rPr>
        <w:t>月</w:t>
      </w:r>
      <w:r>
        <w:rPr>
          <w:sz w:val="24"/>
        </w:rPr>
        <w:t>28</w:t>
      </w:r>
      <w:r>
        <w:rPr>
          <w:rFonts w:hAnsi="宋体"/>
          <w:sz w:val="24"/>
        </w:rPr>
        <w:t>日</w:t>
      </w:r>
    </w:p>
    <w:p w:rsidR="008D5A91" w:rsidRDefault="008D5A91">
      <w:pPr>
        <w:spacing w:line="400" w:lineRule="exact"/>
        <w:ind w:firstLineChars="200" w:firstLine="480"/>
        <w:rPr>
          <w:sz w:val="24"/>
        </w:rPr>
      </w:pPr>
      <w:r>
        <w:rPr>
          <w:sz w:val="24"/>
        </w:rPr>
        <w:t>6</w:t>
      </w:r>
      <w:r>
        <w:rPr>
          <w:rFonts w:hAnsi="宋体"/>
          <w:sz w:val="24"/>
        </w:rPr>
        <w:t>、经营范围：</w:t>
      </w:r>
      <w:r>
        <w:rPr>
          <w:rFonts w:hAnsi="宋体" w:hint="eastAsia"/>
          <w:sz w:val="24"/>
        </w:rPr>
        <w:t>码头及港口基础设施的开发、建设、经营管理；园区建设及土地开发；港口与航道工程；港口经营；水上旅客运输；船舶代理；货运代理；环境保护监测；航运信息咨询；港口机械设备（不含特种设备）制造、安装、维修及租赁业务</w:t>
      </w:r>
      <w:r>
        <w:rPr>
          <w:rFonts w:hAnsi="宋体"/>
          <w:sz w:val="24"/>
        </w:rPr>
        <w:t>。</w:t>
      </w:r>
    </w:p>
    <w:p w:rsidR="008D5A91" w:rsidRDefault="008D5A91">
      <w:pPr>
        <w:spacing w:line="400" w:lineRule="exact"/>
        <w:ind w:firstLineChars="200" w:firstLine="480"/>
        <w:rPr>
          <w:rFonts w:hint="eastAsia"/>
          <w:sz w:val="24"/>
        </w:rPr>
      </w:pPr>
      <w:r>
        <w:rPr>
          <w:sz w:val="24"/>
        </w:rPr>
        <w:lastRenderedPageBreak/>
        <w:t>7</w:t>
      </w:r>
      <w:r>
        <w:rPr>
          <w:sz w:val="24"/>
        </w:rPr>
        <w:t>、</w:t>
      </w:r>
      <w:r>
        <w:rPr>
          <w:rFonts w:hint="eastAsia"/>
          <w:sz w:val="24"/>
        </w:rPr>
        <w:t>股权结构</w:t>
      </w:r>
      <w:r>
        <w:rPr>
          <w:sz w:val="24"/>
        </w:rPr>
        <w:t>：</w:t>
      </w:r>
      <w:r>
        <w:rPr>
          <w:rFonts w:hint="eastAsia"/>
          <w:sz w:val="24"/>
        </w:rPr>
        <w:t>山东省港口集团有限公司持有其</w:t>
      </w:r>
      <w:r>
        <w:rPr>
          <w:rFonts w:hint="eastAsia"/>
          <w:sz w:val="24"/>
        </w:rPr>
        <w:t>100</w:t>
      </w:r>
      <w:r>
        <w:rPr>
          <w:sz w:val="24"/>
        </w:rPr>
        <w:t>%</w:t>
      </w:r>
      <w:r>
        <w:rPr>
          <w:rFonts w:hint="eastAsia"/>
          <w:sz w:val="24"/>
        </w:rPr>
        <w:t>股权。</w:t>
      </w:r>
    </w:p>
    <w:p w:rsidR="008D5A91" w:rsidRDefault="008D5A91">
      <w:pPr>
        <w:spacing w:line="400" w:lineRule="exact"/>
        <w:ind w:firstLineChars="200" w:firstLine="480"/>
        <w:rPr>
          <w:rFonts w:hAnsi="宋体"/>
          <w:sz w:val="24"/>
        </w:rPr>
      </w:pPr>
      <w:r>
        <w:rPr>
          <w:rFonts w:hAnsi="宋体" w:hint="eastAsia"/>
          <w:sz w:val="24"/>
        </w:rPr>
        <w:t>8</w:t>
      </w:r>
      <w:r>
        <w:rPr>
          <w:rFonts w:hAnsi="宋体" w:hint="eastAsia"/>
          <w:sz w:val="24"/>
        </w:rPr>
        <w:t>、山东渤海湾集团与公司无关联关系。</w:t>
      </w:r>
    </w:p>
    <w:p w:rsidR="008D5A91" w:rsidRDefault="008D5A91">
      <w:pPr>
        <w:spacing w:line="400" w:lineRule="exact"/>
        <w:ind w:firstLineChars="150" w:firstLine="361"/>
        <w:outlineLvl w:val="0"/>
        <w:rPr>
          <w:b/>
          <w:sz w:val="24"/>
        </w:rPr>
      </w:pPr>
      <w:r>
        <w:rPr>
          <w:rFonts w:hAnsi="宋体" w:hint="eastAsia"/>
          <w:b/>
          <w:sz w:val="24"/>
        </w:rPr>
        <w:t>四</w:t>
      </w:r>
      <w:r>
        <w:rPr>
          <w:rFonts w:hAnsi="宋体"/>
          <w:b/>
          <w:sz w:val="24"/>
        </w:rPr>
        <w:t>、资助协议的主要内容</w:t>
      </w:r>
    </w:p>
    <w:p w:rsidR="008D5A91" w:rsidRDefault="008D5A91" w:rsidP="00575C60">
      <w:pPr>
        <w:spacing w:line="420" w:lineRule="exact"/>
        <w:ind w:firstLineChars="200" w:firstLine="480"/>
        <w:rPr>
          <w:rFonts w:hAnsi="宋体" w:hint="eastAsia"/>
          <w:sz w:val="24"/>
        </w:rPr>
      </w:pPr>
      <w:r>
        <w:rPr>
          <w:rFonts w:hAnsi="宋体" w:hint="eastAsia"/>
          <w:sz w:val="24"/>
        </w:rPr>
        <w:t>潍坊木片码头拟向公司借款不超过人民币</w:t>
      </w:r>
      <w:r>
        <w:rPr>
          <w:rFonts w:hAnsi="宋体" w:hint="eastAsia"/>
          <w:sz w:val="24"/>
        </w:rPr>
        <w:t>1.5</w:t>
      </w:r>
      <w:r>
        <w:rPr>
          <w:rFonts w:hAnsi="宋体" w:hint="eastAsia"/>
          <w:sz w:val="24"/>
        </w:rPr>
        <w:t>亿元（含</w:t>
      </w:r>
      <w:r>
        <w:rPr>
          <w:rFonts w:hAnsi="宋体" w:hint="eastAsia"/>
          <w:sz w:val="24"/>
        </w:rPr>
        <w:t>1.5</w:t>
      </w:r>
      <w:r>
        <w:rPr>
          <w:rFonts w:hAnsi="宋体" w:hint="eastAsia"/>
          <w:sz w:val="24"/>
        </w:rPr>
        <w:t>亿元），用于日常运营，借款的有效期限不超过</w:t>
      </w:r>
      <w:r>
        <w:rPr>
          <w:rFonts w:hAnsi="宋体" w:hint="eastAsia"/>
          <w:sz w:val="24"/>
        </w:rPr>
        <w:t>5</w:t>
      </w:r>
      <w:r>
        <w:rPr>
          <w:rFonts w:hAnsi="宋体" w:hint="eastAsia"/>
          <w:sz w:val="24"/>
        </w:rPr>
        <w:t>年（含</w:t>
      </w:r>
      <w:r>
        <w:rPr>
          <w:rFonts w:hAnsi="宋体" w:hint="eastAsia"/>
          <w:sz w:val="24"/>
        </w:rPr>
        <w:t>5</w:t>
      </w:r>
      <w:r>
        <w:rPr>
          <w:rFonts w:hAnsi="宋体" w:hint="eastAsia"/>
          <w:sz w:val="24"/>
        </w:rPr>
        <w:t>年），按不低于</w:t>
      </w:r>
      <w:r>
        <w:rPr>
          <w:rFonts w:hAnsi="宋体" w:hint="eastAsia"/>
          <w:sz w:val="24"/>
        </w:rPr>
        <w:t>6%</w:t>
      </w:r>
      <w:r>
        <w:rPr>
          <w:rFonts w:hAnsi="宋体" w:hint="eastAsia"/>
          <w:sz w:val="24"/>
        </w:rPr>
        <w:t>的年利率向股东支付利息</w:t>
      </w:r>
      <w:r w:rsidR="00575C60">
        <w:rPr>
          <w:rFonts w:hAnsi="宋体" w:hint="eastAsia"/>
          <w:sz w:val="24"/>
        </w:rPr>
        <w:t>，</w:t>
      </w:r>
      <w:r w:rsidR="00575C60" w:rsidRPr="00575C60">
        <w:rPr>
          <w:rFonts w:hAnsi="宋体" w:hint="eastAsia"/>
          <w:sz w:val="24"/>
        </w:rPr>
        <w:t>该额度是根据截至</w:t>
      </w:r>
      <w:r w:rsidR="00575C60">
        <w:rPr>
          <w:rFonts w:hAnsi="宋体" w:hint="eastAsia"/>
          <w:sz w:val="24"/>
        </w:rPr>
        <w:t>本</w:t>
      </w:r>
      <w:r w:rsidR="00575C60" w:rsidRPr="00575C60">
        <w:rPr>
          <w:rFonts w:hAnsi="宋体" w:hint="eastAsia"/>
          <w:sz w:val="24"/>
        </w:rPr>
        <w:t>公告</w:t>
      </w:r>
      <w:r w:rsidR="00575C60">
        <w:rPr>
          <w:rFonts w:hAnsi="宋体" w:hint="eastAsia"/>
          <w:sz w:val="24"/>
        </w:rPr>
        <w:t>披露日原财务资助余额和期限测算的</w:t>
      </w:r>
      <w:r w:rsidR="00575C60" w:rsidRPr="00575C60">
        <w:rPr>
          <w:rFonts w:hAnsi="宋体" w:hint="eastAsia"/>
          <w:sz w:val="24"/>
        </w:rPr>
        <w:t>累计发生额</w:t>
      </w:r>
      <w:r>
        <w:rPr>
          <w:rFonts w:hAnsi="宋体" w:hint="eastAsia"/>
          <w:sz w:val="24"/>
        </w:rPr>
        <w:t>。潍坊木片码头其他股东山东渤海湾集团按出资比例提供同等条件的财务资助。</w:t>
      </w:r>
      <w:r>
        <w:rPr>
          <w:rFonts w:hAnsi="宋体"/>
          <w:sz w:val="24"/>
        </w:rPr>
        <w:t>潍坊木片码头将根据实际经营需要，与公司签订资助协议，对</w:t>
      </w:r>
      <w:r>
        <w:rPr>
          <w:rFonts w:hAnsi="宋体"/>
          <w:color w:val="000000"/>
          <w:sz w:val="24"/>
        </w:rPr>
        <w:t>资助期限、违约责任等进行约定，</w:t>
      </w:r>
      <w:r>
        <w:rPr>
          <w:rFonts w:hAnsi="宋体"/>
          <w:sz w:val="24"/>
        </w:rPr>
        <w:t>最终实际资助总额将不超过本次授予的额度。</w:t>
      </w:r>
    </w:p>
    <w:p w:rsidR="008D5A91" w:rsidRDefault="008D5A91">
      <w:pPr>
        <w:spacing w:line="420" w:lineRule="exact"/>
        <w:ind w:firstLineChars="150" w:firstLine="361"/>
        <w:outlineLvl w:val="0"/>
        <w:rPr>
          <w:rFonts w:hAnsi="宋体"/>
          <w:b/>
          <w:sz w:val="24"/>
        </w:rPr>
      </w:pPr>
      <w:r>
        <w:rPr>
          <w:rFonts w:hAnsi="宋体" w:hint="eastAsia"/>
          <w:b/>
          <w:sz w:val="24"/>
        </w:rPr>
        <w:t>五、财务资助风险分析及风控措施</w:t>
      </w:r>
    </w:p>
    <w:p w:rsidR="008D5A91" w:rsidRDefault="008D5A91">
      <w:pPr>
        <w:spacing w:line="420" w:lineRule="exact"/>
        <w:ind w:firstLineChars="200" w:firstLine="480"/>
        <w:rPr>
          <w:rFonts w:hAnsi="宋体" w:hint="eastAsia"/>
          <w:sz w:val="24"/>
        </w:rPr>
      </w:pPr>
      <w:r>
        <w:rPr>
          <w:rFonts w:hAnsi="宋体" w:hint="eastAsia"/>
          <w:sz w:val="24"/>
        </w:rPr>
        <w:t>1</w:t>
      </w:r>
      <w:r>
        <w:rPr>
          <w:rFonts w:hAnsi="宋体" w:hint="eastAsia"/>
          <w:sz w:val="24"/>
        </w:rPr>
        <w:t>、公司对潍坊木片码头派驻了董事长、董事、监事等人员，公司将密切关注潍坊木片码头的经营管理，控制风险。</w:t>
      </w:r>
    </w:p>
    <w:p w:rsidR="008D5A91" w:rsidRDefault="008D5A91">
      <w:pPr>
        <w:spacing w:line="420" w:lineRule="exact"/>
        <w:ind w:firstLineChars="200" w:firstLine="480"/>
        <w:rPr>
          <w:rFonts w:hAnsi="宋体" w:hint="eastAsia"/>
          <w:sz w:val="24"/>
        </w:rPr>
      </w:pPr>
      <w:r>
        <w:rPr>
          <w:rFonts w:hAnsi="宋体" w:hint="eastAsia"/>
          <w:sz w:val="24"/>
        </w:rPr>
        <w:t>2</w:t>
      </w:r>
      <w:r>
        <w:rPr>
          <w:rFonts w:hAnsi="宋体" w:hint="eastAsia"/>
          <w:sz w:val="24"/>
        </w:rPr>
        <w:t>、为降低本次财务资助风险，潍坊木片码头其他股东山东渤海湾集团将按照其出资比例以同等条件向其提供财务资助。</w:t>
      </w:r>
    </w:p>
    <w:p w:rsidR="008D5A91" w:rsidRDefault="008D5A91">
      <w:pPr>
        <w:spacing w:line="420" w:lineRule="exact"/>
        <w:ind w:firstLineChars="150" w:firstLine="361"/>
        <w:outlineLvl w:val="0"/>
        <w:rPr>
          <w:b/>
          <w:sz w:val="24"/>
        </w:rPr>
      </w:pPr>
      <w:r>
        <w:rPr>
          <w:rFonts w:hAnsi="宋体" w:hint="eastAsia"/>
          <w:b/>
          <w:sz w:val="24"/>
        </w:rPr>
        <w:t>六</w:t>
      </w:r>
      <w:r>
        <w:rPr>
          <w:rFonts w:hAnsi="宋体"/>
          <w:b/>
          <w:sz w:val="24"/>
        </w:rPr>
        <w:t>、董事会意见</w:t>
      </w:r>
      <w:r>
        <w:rPr>
          <w:b/>
          <w:sz w:val="24"/>
        </w:rPr>
        <w:t xml:space="preserve"> </w:t>
      </w:r>
    </w:p>
    <w:p w:rsidR="008D5A91" w:rsidRDefault="008D5A91">
      <w:pPr>
        <w:widowControl/>
        <w:spacing w:line="420" w:lineRule="exact"/>
        <w:ind w:firstLineChars="200" w:firstLine="480"/>
        <w:rPr>
          <w:rFonts w:hAnsi="宋体" w:hint="eastAsia"/>
          <w:sz w:val="24"/>
        </w:rPr>
      </w:pPr>
      <w:bookmarkStart w:id="9" w:name="OLE_LINK4"/>
      <w:bookmarkStart w:id="10" w:name="OLE_LINK3"/>
      <w:r>
        <w:rPr>
          <w:rFonts w:hAnsi="宋体" w:hint="eastAsia"/>
          <w:sz w:val="24"/>
        </w:rPr>
        <w:t>潍坊木片码头</w:t>
      </w:r>
      <w:bookmarkEnd w:id="9"/>
      <w:bookmarkEnd w:id="10"/>
      <w:r>
        <w:rPr>
          <w:rFonts w:hAnsi="宋体" w:hint="eastAsia"/>
          <w:sz w:val="24"/>
        </w:rPr>
        <w:t>为公司参股公司，其他股东按照其出资比例提供同等条件的财务资助，潍坊木片码头未提供担保，资助资金主要用于满足</w:t>
      </w:r>
      <w:r>
        <w:rPr>
          <w:rFonts w:hAnsi="宋体"/>
          <w:sz w:val="24"/>
        </w:rPr>
        <w:t>潍坊木片码头</w:t>
      </w:r>
      <w:r>
        <w:rPr>
          <w:rFonts w:hAnsi="宋体" w:hint="eastAsia"/>
          <w:sz w:val="24"/>
        </w:rPr>
        <w:t>项目运营</w:t>
      </w:r>
      <w:r>
        <w:rPr>
          <w:rFonts w:hAnsi="宋体"/>
          <w:sz w:val="24"/>
        </w:rPr>
        <w:t>的资金需求</w:t>
      </w:r>
      <w:r>
        <w:rPr>
          <w:rFonts w:hAnsi="宋体" w:hint="eastAsia"/>
          <w:sz w:val="24"/>
        </w:rPr>
        <w:t>。提供财务资助期间，</w:t>
      </w:r>
      <w:bookmarkStart w:id="11" w:name="OLE_LINK21"/>
      <w:bookmarkStart w:id="12" w:name="OLE_LINK20"/>
      <w:r>
        <w:rPr>
          <w:rFonts w:hAnsi="宋体" w:hint="eastAsia"/>
          <w:sz w:val="24"/>
        </w:rPr>
        <w:t>公司能够对潍坊木片码头的经营管理风险进行有效管控，</w:t>
      </w:r>
      <w:bookmarkEnd w:id="11"/>
      <w:bookmarkEnd w:id="12"/>
      <w:r>
        <w:rPr>
          <w:rFonts w:hAnsi="宋体" w:hint="eastAsia"/>
          <w:sz w:val="24"/>
        </w:rPr>
        <w:t>且潍坊木片码头资信状况良好，本次对外提供财务资助风险可控，不存在损害公司及公司股东尤其是中小股东利益的情形。</w:t>
      </w:r>
    </w:p>
    <w:p w:rsidR="008D5A91" w:rsidRDefault="008D5A91">
      <w:pPr>
        <w:spacing w:line="420" w:lineRule="exact"/>
        <w:ind w:firstLineChars="150" w:firstLine="361"/>
        <w:outlineLvl w:val="0"/>
        <w:rPr>
          <w:rFonts w:hAnsi="宋体" w:hint="eastAsia"/>
          <w:b/>
          <w:sz w:val="24"/>
        </w:rPr>
      </w:pPr>
      <w:r>
        <w:rPr>
          <w:rFonts w:hAnsi="宋体" w:hint="eastAsia"/>
          <w:b/>
          <w:sz w:val="24"/>
        </w:rPr>
        <w:t>七、</w:t>
      </w:r>
      <w:bookmarkStart w:id="13" w:name="OLE_LINK19"/>
      <w:bookmarkStart w:id="14" w:name="OLE_LINK18"/>
      <w:r>
        <w:rPr>
          <w:rFonts w:hAnsi="宋体" w:hint="eastAsia"/>
          <w:b/>
          <w:sz w:val="24"/>
        </w:rPr>
        <w:t>独立董事过半数同意意见</w:t>
      </w:r>
    </w:p>
    <w:bookmarkEnd w:id="13"/>
    <w:bookmarkEnd w:id="14"/>
    <w:p w:rsidR="008D5A91" w:rsidRDefault="008D5A91">
      <w:pPr>
        <w:widowControl/>
        <w:spacing w:line="420" w:lineRule="exact"/>
        <w:ind w:firstLine="480"/>
        <w:rPr>
          <w:rFonts w:hAnsi="宋体" w:hint="eastAsia"/>
          <w:sz w:val="24"/>
        </w:rPr>
      </w:pPr>
      <w:r>
        <w:rPr>
          <w:rFonts w:hAnsi="宋体" w:hint="eastAsia"/>
          <w:sz w:val="24"/>
        </w:rPr>
        <w:t>公司独立董事于</w:t>
      </w:r>
      <w:r>
        <w:rPr>
          <w:rFonts w:hAnsi="宋体" w:hint="eastAsia"/>
          <w:sz w:val="24"/>
        </w:rPr>
        <w:t>2024</w:t>
      </w:r>
      <w:r>
        <w:rPr>
          <w:rFonts w:hAnsi="宋体" w:hint="eastAsia"/>
          <w:sz w:val="24"/>
        </w:rPr>
        <w:t>年</w:t>
      </w:r>
      <w:r>
        <w:rPr>
          <w:rFonts w:hAnsi="宋体" w:hint="eastAsia"/>
          <w:sz w:val="24"/>
        </w:rPr>
        <w:t>10</w:t>
      </w:r>
      <w:r>
        <w:rPr>
          <w:rFonts w:hAnsi="宋体" w:hint="eastAsia"/>
          <w:sz w:val="24"/>
        </w:rPr>
        <w:t>月</w:t>
      </w:r>
      <w:r>
        <w:rPr>
          <w:rFonts w:hAnsi="宋体" w:hint="eastAsia"/>
          <w:sz w:val="24"/>
        </w:rPr>
        <w:t>30</w:t>
      </w:r>
      <w:r>
        <w:rPr>
          <w:rFonts w:hAnsi="宋体" w:hint="eastAsia"/>
          <w:sz w:val="24"/>
        </w:rPr>
        <w:t>日召开了第十届董事会独立董事专门会议第二次会议，以</w:t>
      </w:r>
      <w:r>
        <w:rPr>
          <w:rFonts w:hAnsi="宋体" w:hint="eastAsia"/>
          <w:sz w:val="24"/>
        </w:rPr>
        <w:t>4</w:t>
      </w:r>
      <w:r>
        <w:rPr>
          <w:rFonts w:hAnsi="宋体" w:hint="eastAsia"/>
          <w:sz w:val="24"/>
        </w:rPr>
        <w:t>票同意、</w:t>
      </w:r>
      <w:r>
        <w:rPr>
          <w:rFonts w:hAnsi="宋体" w:hint="eastAsia"/>
          <w:sz w:val="24"/>
        </w:rPr>
        <w:t>0</w:t>
      </w:r>
      <w:r>
        <w:rPr>
          <w:rFonts w:hAnsi="宋体" w:hint="eastAsia"/>
          <w:sz w:val="24"/>
        </w:rPr>
        <w:t>票反对、</w:t>
      </w:r>
      <w:r>
        <w:rPr>
          <w:rFonts w:hAnsi="宋体" w:hint="eastAsia"/>
          <w:sz w:val="24"/>
        </w:rPr>
        <w:t>0</w:t>
      </w:r>
      <w:r>
        <w:rPr>
          <w:rFonts w:hAnsi="宋体" w:hint="eastAsia"/>
          <w:sz w:val="24"/>
        </w:rPr>
        <w:t>票弃权审议通过了《关于为参股公司提供财务资助暨关联交易的议案》。全体独立董事一致认为：</w:t>
      </w:r>
      <w:r>
        <w:rPr>
          <w:rFonts w:ascii="宋体" w:hAnsi="宋体" w:hint="eastAsia"/>
          <w:sz w:val="24"/>
        </w:rPr>
        <w:t>公司向</w:t>
      </w:r>
      <w:bookmarkStart w:id="15" w:name="OLE_LINK12"/>
      <w:bookmarkStart w:id="16" w:name="OLE_LINK13"/>
      <w:r>
        <w:rPr>
          <w:rFonts w:ascii="宋体" w:hAnsi="宋体" w:hint="eastAsia"/>
          <w:sz w:val="24"/>
        </w:rPr>
        <w:t>参股公司潍坊木片码头提供财务资</w:t>
      </w:r>
      <w:r w:rsidR="00874AC2">
        <w:rPr>
          <w:rFonts w:ascii="宋体" w:hAnsi="宋体" w:hint="eastAsia"/>
          <w:sz w:val="24"/>
        </w:rPr>
        <w:t>助能够满足其日常经营资金需要，有助于潍坊</w:t>
      </w:r>
      <w:r>
        <w:rPr>
          <w:rFonts w:ascii="宋体" w:hAnsi="宋体" w:hint="eastAsia"/>
          <w:sz w:val="24"/>
        </w:rPr>
        <w:t>木片码头的经营发展，</w:t>
      </w:r>
      <w:r w:rsidR="009868D2">
        <w:rPr>
          <w:rFonts w:hAnsi="宋体" w:hint="eastAsia"/>
          <w:sz w:val="24"/>
        </w:rPr>
        <w:t>公司派驻人员担任其董监事</w:t>
      </w:r>
      <w:r>
        <w:rPr>
          <w:rFonts w:hAnsi="宋体" w:hint="eastAsia"/>
          <w:sz w:val="24"/>
        </w:rPr>
        <w:t>人员，能够对其经营管理风险进行有效管控，符合公司整体利益</w:t>
      </w:r>
      <w:r>
        <w:rPr>
          <w:rFonts w:ascii="宋体" w:hAnsi="宋体" w:hint="eastAsia"/>
          <w:sz w:val="24"/>
        </w:rPr>
        <w:t>，</w:t>
      </w:r>
      <w:r>
        <w:rPr>
          <w:rFonts w:ascii="宋体" w:hAnsi="宋体" w:cs="Lantinghei TC Heavy" w:hint="eastAsia"/>
          <w:color w:val="191919"/>
          <w:kern w:val="0"/>
          <w:sz w:val="24"/>
          <w:shd w:val="clear" w:color="auto" w:fill="FFFFFF"/>
        </w:rPr>
        <w:t>不存在损害公司及股东利益的情形</w:t>
      </w:r>
      <w:bookmarkEnd w:id="15"/>
      <w:bookmarkEnd w:id="16"/>
      <w:r w:rsidR="0068447A">
        <w:rPr>
          <w:rFonts w:hAnsi="宋体" w:hint="eastAsia"/>
          <w:sz w:val="24"/>
        </w:rPr>
        <w:t>，</w:t>
      </w:r>
      <w:r>
        <w:rPr>
          <w:rFonts w:hAnsi="宋体" w:hint="eastAsia"/>
          <w:sz w:val="24"/>
        </w:rPr>
        <w:t>同意</w:t>
      </w:r>
      <w:r w:rsidR="00874AC2">
        <w:rPr>
          <w:rFonts w:hAnsi="宋体" w:hint="eastAsia"/>
          <w:sz w:val="24"/>
        </w:rPr>
        <w:t>将</w:t>
      </w:r>
      <w:r>
        <w:rPr>
          <w:rFonts w:hAnsi="宋体" w:hint="eastAsia"/>
          <w:sz w:val="24"/>
        </w:rPr>
        <w:t>本次财务资助暨关联交易事项提交公司第十届董事会第十一次会议审议。</w:t>
      </w:r>
    </w:p>
    <w:p w:rsidR="008D5A91" w:rsidRPr="00F62AB6" w:rsidRDefault="008D5A91" w:rsidP="00F62AB6">
      <w:pPr>
        <w:spacing w:line="420" w:lineRule="exact"/>
        <w:ind w:firstLineChars="150" w:firstLine="361"/>
        <w:outlineLvl w:val="0"/>
        <w:rPr>
          <w:rFonts w:hAnsi="宋体"/>
          <w:b/>
          <w:sz w:val="24"/>
        </w:rPr>
      </w:pPr>
      <w:r>
        <w:rPr>
          <w:rFonts w:hAnsi="宋体" w:hint="eastAsia"/>
          <w:b/>
          <w:sz w:val="24"/>
        </w:rPr>
        <w:t>八</w:t>
      </w:r>
      <w:r>
        <w:rPr>
          <w:rFonts w:hAnsi="宋体"/>
          <w:b/>
          <w:sz w:val="24"/>
        </w:rPr>
        <w:t>、累计</w:t>
      </w:r>
      <w:r>
        <w:rPr>
          <w:rFonts w:hAnsi="宋体" w:hint="eastAsia"/>
          <w:b/>
          <w:sz w:val="24"/>
        </w:rPr>
        <w:t>提供财务资助金额</w:t>
      </w:r>
      <w:r>
        <w:rPr>
          <w:rFonts w:hAnsi="宋体"/>
          <w:b/>
          <w:sz w:val="24"/>
        </w:rPr>
        <w:t>及</w:t>
      </w:r>
      <w:r>
        <w:rPr>
          <w:rFonts w:hAnsi="宋体" w:hint="eastAsia"/>
          <w:b/>
          <w:sz w:val="24"/>
        </w:rPr>
        <w:t>与该关联人已发生的各类关联交易总金额</w:t>
      </w:r>
    </w:p>
    <w:p w:rsidR="008D5A91" w:rsidRDefault="00E8772B">
      <w:pPr>
        <w:widowControl/>
        <w:spacing w:line="420" w:lineRule="exact"/>
        <w:ind w:firstLineChars="200" w:firstLine="480"/>
        <w:rPr>
          <w:rFonts w:hAnsi="宋体" w:hint="eastAsia"/>
          <w:sz w:val="24"/>
        </w:rPr>
      </w:pPr>
      <w:bookmarkStart w:id="17" w:name="OLE_LINK1"/>
      <w:bookmarkStart w:id="18" w:name="OLE_LINK2"/>
      <w:r>
        <w:rPr>
          <w:rFonts w:hAnsi="宋体" w:hint="eastAsia"/>
          <w:sz w:val="24"/>
        </w:rPr>
        <w:t>截至本公告披露日</w:t>
      </w:r>
      <w:r w:rsidR="008D5A91">
        <w:rPr>
          <w:rFonts w:hAnsi="宋体"/>
          <w:sz w:val="24"/>
        </w:rPr>
        <w:t>，</w:t>
      </w:r>
      <w:r w:rsidR="008D5A91">
        <w:rPr>
          <w:rFonts w:hAnsi="宋体" w:hint="eastAsia"/>
          <w:sz w:val="24"/>
        </w:rPr>
        <w:t>公司提供财务资助总余额为人民币</w:t>
      </w:r>
      <w:bookmarkStart w:id="19" w:name="OLE_LINK6"/>
      <w:bookmarkStart w:id="20" w:name="OLE_LINK5"/>
      <w:r w:rsidR="008D5A91">
        <w:rPr>
          <w:sz w:val="24"/>
        </w:rPr>
        <w:t>32,454.36</w:t>
      </w:r>
      <w:bookmarkEnd w:id="19"/>
      <w:bookmarkEnd w:id="20"/>
      <w:r w:rsidR="008D5A91">
        <w:rPr>
          <w:rFonts w:hAnsi="宋体" w:hint="eastAsia"/>
          <w:sz w:val="24"/>
        </w:rPr>
        <w:t>万元，占公司最近一期经审计净资产的</w:t>
      </w:r>
      <w:bookmarkStart w:id="21" w:name="OLE_LINK8"/>
      <w:bookmarkStart w:id="22" w:name="OLE_LINK7"/>
      <w:r w:rsidR="008D5A91">
        <w:rPr>
          <w:rFonts w:hAnsi="宋体" w:hint="eastAsia"/>
          <w:sz w:val="24"/>
        </w:rPr>
        <w:t>1.94</w:t>
      </w:r>
      <w:bookmarkEnd w:id="21"/>
      <w:bookmarkEnd w:id="22"/>
      <w:r w:rsidR="008D5A91">
        <w:rPr>
          <w:rFonts w:hAnsi="宋体" w:hint="eastAsia"/>
          <w:sz w:val="24"/>
        </w:rPr>
        <w:t>%</w:t>
      </w:r>
      <w:r w:rsidR="008D5A91">
        <w:rPr>
          <w:rFonts w:hAnsi="宋体" w:hint="eastAsia"/>
          <w:sz w:val="24"/>
        </w:rPr>
        <w:t>，公司及其控股子公司对合并报表外单位提供财务资助总余额为人民币</w:t>
      </w:r>
      <w:r w:rsidR="008D5A91">
        <w:rPr>
          <w:sz w:val="24"/>
        </w:rPr>
        <w:t>32,454.36</w:t>
      </w:r>
      <w:r w:rsidR="008D5A91">
        <w:rPr>
          <w:rFonts w:hAnsi="宋体" w:hint="eastAsia"/>
          <w:sz w:val="24"/>
        </w:rPr>
        <w:t>万元，占公司最近一期经审计净资产的</w:t>
      </w:r>
      <w:r w:rsidR="008D5A91">
        <w:rPr>
          <w:rFonts w:hAnsi="宋体"/>
          <w:sz w:val="24"/>
        </w:rPr>
        <w:t>1.94</w:t>
      </w:r>
      <w:r w:rsidR="008D5A91">
        <w:rPr>
          <w:rFonts w:hAnsi="宋体" w:hint="eastAsia"/>
          <w:sz w:val="24"/>
        </w:rPr>
        <w:t>%</w:t>
      </w:r>
      <w:r w:rsidR="008D5A91">
        <w:rPr>
          <w:rFonts w:hAnsi="宋体"/>
          <w:sz w:val="24"/>
        </w:rPr>
        <w:t>，无逾期的对外</w:t>
      </w:r>
      <w:r w:rsidR="008D5A91">
        <w:rPr>
          <w:rFonts w:hAnsi="宋体" w:hint="eastAsia"/>
          <w:sz w:val="24"/>
        </w:rPr>
        <w:t>财务</w:t>
      </w:r>
      <w:r w:rsidR="008D5A91">
        <w:rPr>
          <w:rFonts w:hAnsi="宋体"/>
          <w:sz w:val="24"/>
        </w:rPr>
        <w:t>资助情况。</w:t>
      </w:r>
      <w:r w:rsidR="008D5A91">
        <w:rPr>
          <w:rFonts w:hAnsi="宋体" w:hint="eastAsia"/>
          <w:sz w:val="24"/>
        </w:rPr>
        <w:t> </w:t>
      </w:r>
    </w:p>
    <w:p w:rsidR="008D5A91" w:rsidRDefault="008D5A91">
      <w:pPr>
        <w:widowControl/>
        <w:spacing w:line="420" w:lineRule="exact"/>
        <w:ind w:firstLineChars="200" w:firstLine="480"/>
        <w:rPr>
          <w:rFonts w:hAnsi="宋体" w:hint="eastAsia"/>
          <w:sz w:val="24"/>
        </w:rPr>
      </w:pPr>
      <w:r>
        <w:rPr>
          <w:rFonts w:hAnsi="宋体" w:hint="eastAsia"/>
          <w:sz w:val="24"/>
        </w:rPr>
        <w:t>2024</w:t>
      </w:r>
      <w:r>
        <w:rPr>
          <w:rFonts w:hAnsi="宋体" w:hint="eastAsia"/>
          <w:sz w:val="24"/>
        </w:rPr>
        <w:t>年</w:t>
      </w:r>
      <w:r>
        <w:rPr>
          <w:rFonts w:hAnsi="宋体" w:hint="eastAsia"/>
          <w:sz w:val="24"/>
        </w:rPr>
        <w:t>1</w:t>
      </w:r>
      <w:r>
        <w:rPr>
          <w:rFonts w:hAnsi="宋体" w:hint="eastAsia"/>
          <w:sz w:val="24"/>
        </w:rPr>
        <w:t>月</w:t>
      </w:r>
      <w:r>
        <w:rPr>
          <w:rFonts w:hAnsi="宋体" w:hint="eastAsia"/>
          <w:sz w:val="24"/>
        </w:rPr>
        <w:t>1</w:t>
      </w:r>
      <w:r>
        <w:rPr>
          <w:rFonts w:hAnsi="宋体" w:hint="eastAsia"/>
          <w:sz w:val="24"/>
        </w:rPr>
        <w:t>日至</w:t>
      </w:r>
      <w:r>
        <w:rPr>
          <w:rFonts w:hAnsi="宋体" w:hint="eastAsia"/>
          <w:sz w:val="24"/>
        </w:rPr>
        <w:t>2024</w:t>
      </w:r>
      <w:r>
        <w:rPr>
          <w:rFonts w:hAnsi="宋体" w:hint="eastAsia"/>
          <w:sz w:val="24"/>
        </w:rPr>
        <w:t>年</w:t>
      </w:r>
      <w:r>
        <w:rPr>
          <w:rFonts w:hAnsi="宋体" w:hint="eastAsia"/>
          <w:sz w:val="24"/>
        </w:rPr>
        <w:t>9</w:t>
      </w:r>
      <w:r>
        <w:rPr>
          <w:rFonts w:hAnsi="宋体" w:hint="eastAsia"/>
          <w:sz w:val="24"/>
        </w:rPr>
        <w:t>月</w:t>
      </w:r>
      <w:r>
        <w:rPr>
          <w:rFonts w:hAnsi="宋体" w:hint="eastAsia"/>
          <w:sz w:val="24"/>
        </w:rPr>
        <w:t>30</w:t>
      </w:r>
      <w:r>
        <w:rPr>
          <w:rFonts w:hAnsi="宋体" w:hint="eastAsia"/>
          <w:sz w:val="24"/>
        </w:rPr>
        <w:t>日，公司及其控股子公司与潍坊木片码头已发生的各类关联交易的总金额为人民币</w:t>
      </w:r>
      <w:r>
        <w:rPr>
          <w:rFonts w:hAnsi="宋体"/>
          <w:sz w:val="24"/>
        </w:rPr>
        <w:t>7,948.63</w:t>
      </w:r>
      <w:r>
        <w:rPr>
          <w:rFonts w:hAnsi="宋体" w:hint="eastAsia"/>
          <w:sz w:val="24"/>
        </w:rPr>
        <w:t>万元</w:t>
      </w:r>
      <w:r>
        <w:rPr>
          <w:rFonts w:hAnsi="宋体"/>
          <w:sz w:val="24"/>
        </w:rPr>
        <w:t>。</w:t>
      </w:r>
    </w:p>
    <w:bookmarkEnd w:id="17"/>
    <w:bookmarkEnd w:id="18"/>
    <w:p w:rsidR="008D5A91" w:rsidRPr="00F62AB6" w:rsidRDefault="008D5A91" w:rsidP="00F62AB6">
      <w:pPr>
        <w:spacing w:line="420" w:lineRule="exact"/>
        <w:ind w:firstLineChars="150" w:firstLine="361"/>
        <w:outlineLvl w:val="0"/>
        <w:rPr>
          <w:rFonts w:hAnsi="宋体"/>
          <w:b/>
          <w:sz w:val="24"/>
        </w:rPr>
      </w:pPr>
      <w:r>
        <w:rPr>
          <w:rFonts w:hAnsi="宋体" w:hint="eastAsia"/>
          <w:b/>
          <w:sz w:val="24"/>
        </w:rPr>
        <w:t>九</w:t>
      </w:r>
      <w:r>
        <w:rPr>
          <w:rFonts w:hAnsi="宋体"/>
          <w:b/>
          <w:sz w:val="24"/>
        </w:rPr>
        <w:t>、备查文件</w:t>
      </w:r>
      <w:r w:rsidR="00F62AB6">
        <w:rPr>
          <w:rFonts w:hAnsi="宋体" w:hint="eastAsia"/>
          <w:b/>
          <w:sz w:val="24"/>
        </w:rPr>
        <w:t>目录</w:t>
      </w:r>
    </w:p>
    <w:p w:rsidR="008D5A91" w:rsidRDefault="008D5A91">
      <w:pPr>
        <w:spacing w:line="420" w:lineRule="exact"/>
        <w:ind w:firstLineChars="200" w:firstLine="480"/>
        <w:rPr>
          <w:sz w:val="24"/>
        </w:rPr>
      </w:pPr>
      <w:r>
        <w:rPr>
          <w:sz w:val="24"/>
        </w:rPr>
        <w:lastRenderedPageBreak/>
        <w:t>1</w:t>
      </w:r>
      <w:r>
        <w:rPr>
          <w:rFonts w:hAnsi="宋体"/>
          <w:sz w:val="24"/>
        </w:rPr>
        <w:t>、公司第</w:t>
      </w:r>
      <w:r>
        <w:rPr>
          <w:rFonts w:hAnsi="宋体" w:hint="eastAsia"/>
          <w:sz w:val="24"/>
        </w:rPr>
        <w:t>十</w:t>
      </w:r>
      <w:r>
        <w:rPr>
          <w:rFonts w:hAnsi="宋体"/>
          <w:sz w:val="24"/>
        </w:rPr>
        <w:t>届董事会第</w:t>
      </w:r>
      <w:r w:rsidR="00F62AB6">
        <w:rPr>
          <w:rFonts w:hAnsi="宋体" w:hint="eastAsia"/>
          <w:sz w:val="24"/>
        </w:rPr>
        <w:t>十一</w:t>
      </w:r>
      <w:r>
        <w:rPr>
          <w:rFonts w:hAnsi="宋体" w:hint="eastAsia"/>
          <w:sz w:val="24"/>
        </w:rPr>
        <w:t>次</w:t>
      </w:r>
      <w:r>
        <w:rPr>
          <w:rFonts w:hAnsi="宋体"/>
          <w:sz w:val="24"/>
        </w:rPr>
        <w:t>会议决议</w:t>
      </w:r>
      <w:r>
        <w:rPr>
          <w:rFonts w:hAnsi="宋体" w:hint="eastAsia"/>
          <w:sz w:val="24"/>
        </w:rPr>
        <w:t>；</w:t>
      </w:r>
    </w:p>
    <w:p w:rsidR="008D5A91" w:rsidRDefault="008D5A91">
      <w:pPr>
        <w:spacing w:line="420" w:lineRule="exact"/>
        <w:ind w:firstLineChars="200" w:firstLine="480"/>
        <w:rPr>
          <w:sz w:val="24"/>
        </w:rPr>
      </w:pPr>
      <w:r>
        <w:rPr>
          <w:sz w:val="24"/>
        </w:rPr>
        <w:t>2</w:t>
      </w:r>
      <w:r>
        <w:rPr>
          <w:rFonts w:hAnsi="宋体"/>
          <w:sz w:val="24"/>
        </w:rPr>
        <w:t>、</w:t>
      </w:r>
      <w:r>
        <w:rPr>
          <w:rFonts w:hAnsi="宋体" w:hint="eastAsia"/>
          <w:sz w:val="24"/>
        </w:rPr>
        <w:t>第十届董事会独立董事专门会议第二次会议</w:t>
      </w:r>
      <w:r w:rsidR="0068447A">
        <w:rPr>
          <w:rFonts w:hAnsi="宋体" w:hint="eastAsia"/>
          <w:sz w:val="24"/>
        </w:rPr>
        <w:t>决议</w:t>
      </w:r>
      <w:r>
        <w:rPr>
          <w:rFonts w:hAnsi="宋体" w:hint="eastAsia"/>
          <w:sz w:val="24"/>
        </w:rPr>
        <w:t>。</w:t>
      </w:r>
    </w:p>
    <w:p w:rsidR="008D5A91" w:rsidRDefault="008D5A91">
      <w:pPr>
        <w:spacing w:line="420" w:lineRule="exact"/>
        <w:ind w:firstLineChars="200" w:firstLine="480"/>
        <w:rPr>
          <w:rFonts w:hAnsi="宋体" w:hint="eastAsia"/>
          <w:sz w:val="24"/>
        </w:rPr>
      </w:pPr>
      <w:r>
        <w:rPr>
          <w:rFonts w:hAnsi="宋体"/>
          <w:sz w:val="24"/>
        </w:rPr>
        <w:t>特此公告。</w:t>
      </w:r>
    </w:p>
    <w:p w:rsidR="00F62AB6" w:rsidRDefault="00F62AB6">
      <w:pPr>
        <w:spacing w:line="420" w:lineRule="exact"/>
        <w:ind w:firstLineChars="200" w:firstLine="480"/>
        <w:rPr>
          <w:rFonts w:hAnsi="宋体" w:hint="eastAsia"/>
          <w:sz w:val="24"/>
        </w:rPr>
      </w:pPr>
    </w:p>
    <w:p w:rsidR="00F62AB6" w:rsidRDefault="00F62AB6">
      <w:pPr>
        <w:spacing w:line="420" w:lineRule="exact"/>
        <w:ind w:firstLineChars="200" w:firstLine="480"/>
        <w:rPr>
          <w:rFonts w:hAnsi="宋体"/>
          <w:sz w:val="24"/>
        </w:rPr>
      </w:pPr>
    </w:p>
    <w:p w:rsidR="008D5A91" w:rsidRDefault="008D5A91">
      <w:pPr>
        <w:spacing w:line="420" w:lineRule="exact"/>
        <w:ind w:firstLineChars="1850" w:firstLine="4440"/>
        <w:jc w:val="right"/>
        <w:rPr>
          <w:sz w:val="24"/>
        </w:rPr>
      </w:pPr>
      <w:r>
        <w:rPr>
          <w:rFonts w:hAnsi="宋体"/>
          <w:sz w:val="24"/>
        </w:rPr>
        <w:t>山东晨鸣纸业集团股份有限公司董事会</w:t>
      </w:r>
    </w:p>
    <w:p w:rsidR="008D5A91" w:rsidRDefault="008D5A91">
      <w:pPr>
        <w:spacing w:line="420" w:lineRule="exact"/>
        <w:ind w:right="480" w:firstLineChars="200" w:firstLine="480"/>
        <w:jc w:val="center"/>
      </w:pPr>
      <w:r>
        <w:rPr>
          <w:rFonts w:hAnsi="宋体" w:hint="eastAsia"/>
          <w:sz w:val="24"/>
        </w:rPr>
        <w:t xml:space="preserve">                                               </w:t>
      </w:r>
      <w:r>
        <w:rPr>
          <w:rFonts w:hAnsi="宋体"/>
          <w:sz w:val="24"/>
        </w:rPr>
        <w:t>二〇</w:t>
      </w:r>
      <w:r>
        <w:rPr>
          <w:rFonts w:hAnsi="宋体" w:hint="eastAsia"/>
          <w:sz w:val="24"/>
        </w:rPr>
        <w:t>二四</w:t>
      </w:r>
      <w:r>
        <w:rPr>
          <w:rFonts w:hAnsi="宋体"/>
          <w:sz w:val="24"/>
        </w:rPr>
        <w:t>年</w:t>
      </w:r>
      <w:r>
        <w:rPr>
          <w:rFonts w:hAnsi="宋体" w:hint="eastAsia"/>
          <w:sz w:val="24"/>
        </w:rPr>
        <w:t>十</w:t>
      </w:r>
      <w:r>
        <w:rPr>
          <w:rFonts w:hAnsi="宋体"/>
          <w:sz w:val="24"/>
        </w:rPr>
        <w:t>月</w:t>
      </w:r>
      <w:r>
        <w:rPr>
          <w:rFonts w:hAnsi="宋体" w:hint="eastAsia"/>
          <w:sz w:val="24"/>
        </w:rPr>
        <w:t>三十</w:t>
      </w:r>
      <w:r>
        <w:rPr>
          <w:rFonts w:hAnsi="宋体"/>
          <w:sz w:val="24"/>
        </w:rPr>
        <w:t>日</w:t>
      </w:r>
    </w:p>
    <w:sectPr w:rsidR="008D5A91">
      <w:headerReference w:type="default" r:id="rId8"/>
      <w:footerReference w:type="even" r:id="rId9"/>
      <w:footerReference w:type="default" r:id="rId10"/>
      <w:pgSz w:w="11906" w:h="16838"/>
      <w:pgMar w:top="1077" w:right="1247" w:bottom="1021" w:left="1247" w:header="851" w:footer="839"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66E" w:rsidRDefault="0040466E">
      <w:r>
        <w:separator/>
      </w:r>
    </w:p>
  </w:endnote>
  <w:endnote w:type="continuationSeparator" w:id="0">
    <w:p w:rsidR="0040466E" w:rsidRDefault="0040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Lantinghei TC Heavy">
    <w:altName w:val="Segoe Print"/>
    <w:charset w:val="00"/>
    <w:family w:val="auto"/>
    <w:pitch w:val="default"/>
    <w:sig w:usb0="00000000" w:usb1="00000000" w:usb2="00000000"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A91" w:rsidRDefault="008D5A9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D5A91" w:rsidRDefault="008D5A9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A91" w:rsidRDefault="008D5A91">
    <w:pPr>
      <w:pStyle w:val="a7"/>
      <w:jc w:val="center"/>
      <w:rPr>
        <w:rFonts w:ascii="宋体" w:hAnsi="宋体"/>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66E" w:rsidRDefault="0040466E">
      <w:r>
        <w:separator/>
      </w:r>
    </w:p>
  </w:footnote>
  <w:footnote w:type="continuationSeparator" w:id="0">
    <w:p w:rsidR="0040466E" w:rsidRDefault="004046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A91" w:rsidRDefault="008D5A91">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3Yzc3MDNjYWU3YzQ4ZTc1MTM1NjA2NWQyZDAyNDkifQ=="/>
  </w:docVars>
  <w:rsids>
    <w:rsidRoot w:val="00E00A87"/>
    <w:rsid w:val="00005BA6"/>
    <w:rsid w:val="00011837"/>
    <w:rsid w:val="00013223"/>
    <w:rsid w:val="00015E8C"/>
    <w:rsid w:val="0002268E"/>
    <w:rsid w:val="00024B79"/>
    <w:rsid w:val="00026BCD"/>
    <w:rsid w:val="00027F4B"/>
    <w:rsid w:val="000332EC"/>
    <w:rsid w:val="000363D1"/>
    <w:rsid w:val="00037302"/>
    <w:rsid w:val="00041288"/>
    <w:rsid w:val="00043F17"/>
    <w:rsid w:val="0005038D"/>
    <w:rsid w:val="0005341B"/>
    <w:rsid w:val="00056773"/>
    <w:rsid w:val="0006327F"/>
    <w:rsid w:val="000A2D38"/>
    <w:rsid w:val="000A48AC"/>
    <w:rsid w:val="000A5111"/>
    <w:rsid w:val="000A555C"/>
    <w:rsid w:val="000A627A"/>
    <w:rsid w:val="000B4BF3"/>
    <w:rsid w:val="000B582D"/>
    <w:rsid w:val="000B585D"/>
    <w:rsid w:val="000B7015"/>
    <w:rsid w:val="000C3EA9"/>
    <w:rsid w:val="000C4010"/>
    <w:rsid w:val="000E09FB"/>
    <w:rsid w:val="000E124D"/>
    <w:rsid w:val="000E4D9D"/>
    <w:rsid w:val="000F5167"/>
    <w:rsid w:val="00101032"/>
    <w:rsid w:val="0011335C"/>
    <w:rsid w:val="0013142C"/>
    <w:rsid w:val="001365A4"/>
    <w:rsid w:val="001409D9"/>
    <w:rsid w:val="001416F9"/>
    <w:rsid w:val="00154B7E"/>
    <w:rsid w:val="0015629D"/>
    <w:rsid w:val="0016363D"/>
    <w:rsid w:val="00167EE2"/>
    <w:rsid w:val="001710E9"/>
    <w:rsid w:val="00186C1B"/>
    <w:rsid w:val="0019164B"/>
    <w:rsid w:val="0019265F"/>
    <w:rsid w:val="001A4BE0"/>
    <w:rsid w:val="001A4C16"/>
    <w:rsid w:val="001B2E73"/>
    <w:rsid w:val="001C3940"/>
    <w:rsid w:val="001C46DB"/>
    <w:rsid w:val="001D13FC"/>
    <w:rsid w:val="001D14FC"/>
    <w:rsid w:val="001E2DEC"/>
    <w:rsid w:val="001F4C6A"/>
    <w:rsid w:val="001F6E41"/>
    <w:rsid w:val="002039F4"/>
    <w:rsid w:val="00205F7D"/>
    <w:rsid w:val="0022307E"/>
    <w:rsid w:val="002453B2"/>
    <w:rsid w:val="002525EE"/>
    <w:rsid w:val="00253A51"/>
    <w:rsid w:val="002611C0"/>
    <w:rsid w:val="00265AFC"/>
    <w:rsid w:val="00267145"/>
    <w:rsid w:val="00286E63"/>
    <w:rsid w:val="0029634C"/>
    <w:rsid w:val="00296750"/>
    <w:rsid w:val="002A68D9"/>
    <w:rsid w:val="002A7BFE"/>
    <w:rsid w:val="002C3C7B"/>
    <w:rsid w:val="002C4180"/>
    <w:rsid w:val="002D2A7A"/>
    <w:rsid w:val="002D4C4C"/>
    <w:rsid w:val="002E1E7C"/>
    <w:rsid w:val="002E57B1"/>
    <w:rsid w:val="002F219E"/>
    <w:rsid w:val="003067DC"/>
    <w:rsid w:val="00310BCF"/>
    <w:rsid w:val="00314C63"/>
    <w:rsid w:val="00322288"/>
    <w:rsid w:val="00323DEC"/>
    <w:rsid w:val="0033191F"/>
    <w:rsid w:val="00333729"/>
    <w:rsid w:val="003411DB"/>
    <w:rsid w:val="003509BD"/>
    <w:rsid w:val="00356695"/>
    <w:rsid w:val="0036740D"/>
    <w:rsid w:val="00371B97"/>
    <w:rsid w:val="003753CF"/>
    <w:rsid w:val="00375C43"/>
    <w:rsid w:val="00381EF5"/>
    <w:rsid w:val="00397E2C"/>
    <w:rsid w:val="003A1B65"/>
    <w:rsid w:val="003A7274"/>
    <w:rsid w:val="003B0166"/>
    <w:rsid w:val="003B15F0"/>
    <w:rsid w:val="003B24BA"/>
    <w:rsid w:val="003C24B1"/>
    <w:rsid w:val="003D598D"/>
    <w:rsid w:val="003D7B7E"/>
    <w:rsid w:val="003E14CD"/>
    <w:rsid w:val="003E392C"/>
    <w:rsid w:val="003E4967"/>
    <w:rsid w:val="003E60F9"/>
    <w:rsid w:val="003E663B"/>
    <w:rsid w:val="003F2A67"/>
    <w:rsid w:val="003F3B61"/>
    <w:rsid w:val="0040466E"/>
    <w:rsid w:val="00404B37"/>
    <w:rsid w:val="0041721A"/>
    <w:rsid w:val="00417F90"/>
    <w:rsid w:val="004410F0"/>
    <w:rsid w:val="00443186"/>
    <w:rsid w:val="004431C7"/>
    <w:rsid w:val="00445F36"/>
    <w:rsid w:val="0045054C"/>
    <w:rsid w:val="00453263"/>
    <w:rsid w:val="004639BC"/>
    <w:rsid w:val="00464B53"/>
    <w:rsid w:val="00464E0C"/>
    <w:rsid w:val="004718C4"/>
    <w:rsid w:val="00473636"/>
    <w:rsid w:val="004873B2"/>
    <w:rsid w:val="004917AE"/>
    <w:rsid w:val="004941C6"/>
    <w:rsid w:val="004975E6"/>
    <w:rsid w:val="004A54BF"/>
    <w:rsid w:val="004B06AE"/>
    <w:rsid w:val="004B67D4"/>
    <w:rsid w:val="004D389D"/>
    <w:rsid w:val="004E572B"/>
    <w:rsid w:val="004F1949"/>
    <w:rsid w:val="004F6AA4"/>
    <w:rsid w:val="00514A4B"/>
    <w:rsid w:val="0052082C"/>
    <w:rsid w:val="00522E3D"/>
    <w:rsid w:val="00524808"/>
    <w:rsid w:val="00526120"/>
    <w:rsid w:val="005363A8"/>
    <w:rsid w:val="00536C97"/>
    <w:rsid w:val="005514AA"/>
    <w:rsid w:val="005530BB"/>
    <w:rsid w:val="00555DA4"/>
    <w:rsid w:val="00565AB0"/>
    <w:rsid w:val="00567F0B"/>
    <w:rsid w:val="00575C60"/>
    <w:rsid w:val="00576EA6"/>
    <w:rsid w:val="005770F7"/>
    <w:rsid w:val="00577AD2"/>
    <w:rsid w:val="00583C25"/>
    <w:rsid w:val="0058523A"/>
    <w:rsid w:val="00585EB8"/>
    <w:rsid w:val="00593A85"/>
    <w:rsid w:val="00595320"/>
    <w:rsid w:val="005A4876"/>
    <w:rsid w:val="005A726F"/>
    <w:rsid w:val="005B7802"/>
    <w:rsid w:val="005B7C9B"/>
    <w:rsid w:val="005C3D2D"/>
    <w:rsid w:val="005C6442"/>
    <w:rsid w:val="005D10FE"/>
    <w:rsid w:val="005D202A"/>
    <w:rsid w:val="005E59B8"/>
    <w:rsid w:val="005F28CA"/>
    <w:rsid w:val="005F49FB"/>
    <w:rsid w:val="005F57E8"/>
    <w:rsid w:val="00603F7F"/>
    <w:rsid w:val="00605533"/>
    <w:rsid w:val="006131E5"/>
    <w:rsid w:val="00613538"/>
    <w:rsid w:val="00613C71"/>
    <w:rsid w:val="00615322"/>
    <w:rsid w:val="006159E4"/>
    <w:rsid w:val="00620DAA"/>
    <w:rsid w:val="00626E0F"/>
    <w:rsid w:val="00635746"/>
    <w:rsid w:val="00636A69"/>
    <w:rsid w:val="00641A5E"/>
    <w:rsid w:val="006620D1"/>
    <w:rsid w:val="0066377F"/>
    <w:rsid w:val="00683FFC"/>
    <w:rsid w:val="0068447A"/>
    <w:rsid w:val="0069093D"/>
    <w:rsid w:val="006A21DD"/>
    <w:rsid w:val="006A3C9D"/>
    <w:rsid w:val="006B6C28"/>
    <w:rsid w:val="006C2139"/>
    <w:rsid w:val="006C3DF2"/>
    <w:rsid w:val="00700281"/>
    <w:rsid w:val="00701086"/>
    <w:rsid w:val="00706876"/>
    <w:rsid w:val="00707585"/>
    <w:rsid w:val="0071634B"/>
    <w:rsid w:val="00720C2D"/>
    <w:rsid w:val="0072182D"/>
    <w:rsid w:val="00722651"/>
    <w:rsid w:val="007319C0"/>
    <w:rsid w:val="00732FFC"/>
    <w:rsid w:val="007336F3"/>
    <w:rsid w:val="00734CAA"/>
    <w:rsid w:val="00735623"/>
    <w:rsid w:val="00737E5F"/>
    <w:rsid w:val="00743D28"/>
    <w:rsid w:val="0075206A"/>
    <w:rsid w:val="0075753F"/>
    <w:rsid w:val="007622F6"/>
    <w:rsid w:val="00765D0B"/>
    <w:rsid w:val="00766366"/>
    <w:rsid w:val="00781C3E"/>
    <w:rsid w:val="00793F37"/>
    <w:rsid w:val="007A3416"/>
    <w:rsid w:val="007A5107"/>
    <w:rsid w:val="007B18DF"/>
    <w:rsid w:val="007B20DB"/>
    <w:rsid w:val="007B6173"/>
    <w:rsid w:val="007B728B"/>
    <w:rsid w:val="007B7678"/>
    <w:rsid w:val="007D4E78"/>
    <w:rsid w:val="007E0C4B"/>
    <w:rsid w:val="007E2343"/>
    <w:rsid w:val="007E4351"/>
    <w:rsid w:val="007E56C4"/>
    <w:rsid w:val="008204E6"/>
    <w:rsid w:val="00822BE7"/>
    <w:rsid w:val="00823678"/>
    <w:rsid w:val="008410CF"/>
    <w:rsid w:val="00855168"/>
    <w:rsid w:val="00855F18"/>
    <w:rsid w:val="00874AC2"/>
    <w:rsid w:val="0087596F"/>
    <w:rsid w:val="00876E19"/>
    <w:rsid w:val="00885393"/>
    <w:rsid w:val="00885B2C"/>
    <w:rsid w:val="00893F57"/>
    <w:rsid w:val="008955DB"/>
    <w:rsid w:val="008A59B6"/>
    <w:rsid w:val="008A73A5"/>
    <w:rsid w:val="008A7561"/>
    <w:rsid w:val="008B3B1C"/>
    <w:rsid w:val="008B46CE"/>
    <w:rsid w:val="008C2B11"/>
    <w:rsid w:val="008C71F6"/>
    <w:rsid w:val="008D5A91"/>
    <w:rsid w:val="008D6299"/>
    <w:rsid w:val="008F0C3B"/>
    <w:rsid w:val="008F2AFD"/>
    <w:rsid w:val="00900C5F"/>
    <w:rsid w:val="009021BE"/>
    <w:rsid w:val="00905E03"/>
    <w:rsid w:val="0090705A"/>
    <w:rsid w:val="009221BC"/>
    <w:rsid w:val="00925358"/>
    <w:rsid w:val="009277A4"/>
    <w:rsid w:val="009277FF"/>
    <w:rsid w:val="00953AA6"/>
    <w:rsid w:val="009569ED"/>
    <w:rsid w:val="00956B7F"/>
    <w:rsid w:val="00957EA6"/>
    <w:rsid w:val="00957FEF"/>
    <w:rsid w:val="009606D1"/>
    <w:rsid w:val="009620E3"/>
    <w:rsid w:val="00965C2D"/>
    <w:rsid w:val="00971D3A"/>
    <w:rsid w:val="009811C4"/>
    <w:rsid w:val="009865F5"/>
    <w:rsid w:val="009868D2"/>
    <w:rsid w:val="009A2997"/>
    <w:rsid w:val="009A724E"/>
    <w:rsid w:val="009B2E45"/>
    <w:rsid w:val="009B3D94"/>
    <w:rsid w:val="009B71F5"/>
    <w:rsid w:val="009C3452"/>
    <w:rsid w:val="009C38DB"/>
    <w:rsid w:val="009C7700"/>
    <w:rsid w:val="009D187B"/>
    <w:rsid w:val="009D2B70"/>
    <w:rsid w:val="009E4687"/>
    <w:rsid w:val="009E7F56"/>
    <w:rsid w:val="009F0CB8"/>
    <w:rsid w:val="00A10C74"/>
    <w:rsid w:val="00A13887"/>
    <w:rsid w:val="00A1567C"/>
    <w:rsid w:val="00A16702"/>
    <w:rsid w:val="00A220D5"/>
    <w:rsid w:val="00A26F04"/>
    <w:rsid w:val="00A43433"/>
    <w:rsid w:val="00A4566B"/>
    <w:rsid w:val="00A5114B"/>
    <w:rsid w:val="00A5171A"/>
    <w:rsid w:val="00A57DC0"/>
    <w:rsid w:val="00A76EC8"/>
    <w:rsid w:val="00A8529C"/>
    <w:rsid w:val="00A9087D"/>
    <w:rsid w:val="00A92A3E"/>
    <w:rsid w:val="00A92A73"/>
    <w:rsid w:val="00AA0976"/>
    <w:rsid w:val="00AA4D31"/>
    <w:rsid w:val="00AA5031"/>
    <w:rsid w:val="00AB4E9C"/>
    <w:rsid w:val="00AB54A0"/>
    <w:rsid w:val="00AB66D9"/>
    <w:rsid w:val="00AB6AFB"/>
    <w:rsid w:val="00AB6C02"/>
    <w:rsid w:val="00AB79D2"/>
    <w:rsid w:val="00AC0576"/>
    <w:rsid w:val="00AC16BF"/>
    <w:rsid w:val="00AD0F3F"/>
    <w:rsid w:val="00AE04C6"/>
    <w:rsid w:val="00AE125A"/>
    <w:rsid w:val="00AE155C"/>
    <w:rsid w:val="00AE428D"/>
    <w:rsid w:val="00B047D0"/>
    <w:rsid w:val="00B04992"/>
    <w:rsid w:val="00B14636"/>
    <w:rsid w:val="00B1548B"/>
    <w:rsid w:val="00B17E51"/>
    <w:rsid w:val="00B244C8"/>
    <w:rsid w:val="00B25E39"/>
    <w:rsid w:val="00B26CFC"/>
    <w:rsid w:val="00B27103"/>
    <w:rsid w:val="00B30FB4"/>
    <w:rsid w:val="00B349A4"/>
    <w:rsid w:val="00B5325D"/>
    <w:rsid w:val="00B5721E"/>
    <w:rsid w:val="00B676F6"/>
    <w:rsid w:val="00B716E2"/>
    <w:rsid w:val="00B82DCC"/>
    <w:rsid w:val="00B86D17"/>
    <w:rsid w:val="00B8740E"/>
    <w:rsid w:val="00BB65AA"/>
    <w:rsid w:val="00BB7381"/>
    <w:rsid w:val="00BC795C"/>
    <w:rsid w:val="00BF3C34"/>
    <w:rsid w:val="00BF4329"/>
    <w:rsid w:val="00BF4EA8"/>
    <w:rsid w:val="00C015F7"/>
    <w:rsid w:val="00C02C9A"/>
    <w:rsid w:val="00C046C8"/>
    <w:rsid w:val="00C04F7A"/>
    <w:rsid w:val="00C05C1D"/>
    <w:rsid w:val="00C0640D"/>
    <w:rsid w:val="00C2249B"/>
    <w:rsid w:val="00C26434"/>
    <w:rsid w:val="00C338A5"/>
    <w:rsid w:val="00C34975"/>
    <w:rsid w:val="00C4279F"/>
    <w:rsid w:val="00C506BF"/>
    <w:rsid w:val="00C50AF1"/>
    <w:rsid w:val="00C5582B"/>
    <w:rsid w:val="00C571FF"/>
    <w:rsid w:val="00C63A3E"/>
    <w:rsid w:val="00C738D7"/>
    <w:rsid w:val="00C744EE"/>
    <w:rsid w:val="00C756FA"/>
    <w:rsid w:val="00C970A6"/>
    <w:rsid w:val="00CA0E61"/>
    <w:rsid w:val="00CB050D"/>
    <w:rsid w:val="00CB4769"/>
    <w:rsid w:val="00CC0DDD"/>
    <w:rsid w:val="00CC4D03"/>
    <w:rsid w:val="00CC4DC0"/>
    <w:rsid w:val="00CC69DD"/>
    <w:rsid w:val="00CC7809"/>
    <w:rsid w:val="00CD2D54"/>
    <w:rsid w:val="00CD7227"/>
    <w:rsid w:val="00CF0CE3"/>
    <w:rsid w:val="00CF26B6"/>
    <w:rsid w:val="00CF3AB6"/>
    <w:rsid w:val="00CF58C9"/>
    <w:rsid w:val="00CF6188"/>
    <w:rsid w:val="00D20B35"/>
    <w:rsid w:val="00D21D15"/>
    <w:rsid w:val="00D260EE"/>
    <w:rsid w:val="00D26ED1"/>
    <w:rsid w:val="00D3725A"/>
    <w:rsid w:val="00D45626"/>
    <w:rsid w:val="00D47A46"/>
    <w:rsid w:val="00D50DD9"/>
    <w:rsid w:val="00D606F9"/>
    <w:rsid w:val="00D6078E"/>
    <w:rsid w:val="00D61ECE"/>
    <w:rsid w:val="00D6380E"/>
    <w:rsid w:val="00D708F3"/>
    <w:rsid w:val="00D723AC"/>
    <w:rsid w:val="00D767B8"/>
    <w:rsid w:val="00D77502"/>
    <w:rsid w:val="00D8165B"/>
    <w:rsid w:val="00D82044"/>
    <w:rsid w:val="00D86F98"/>
    <w:rsid w:val="00D87616"/>
    <w:rsid w:val="00D93005"/>
    <w:rsid w:val="00DA2E7F"/>
    <w:rsid w:val="00DA4CD1"/>
    <w:rsid w:val="00DA6A1E"/>
    <w:rsid w:val="00DB08B9"/>
    <w:rsid w:val="00DB4553"/>
    <w:rsid w:val="00DB5C8C"/>
    <w:rsid w:val="00DC6B2F"/>
    <w:rsid w:val="00DD3BFD"/>
    <w:rsid w:val="00DE1F64"/>
    <w:rsid w:val="00DE564D"/>
    <w:rsid w:val="00DF59D8"/>
    <w:rsid w:val="00E00A87"/>
    <w:rsid w:val="00E03521"/>
    <w:rsid w:val="00E0511A"/>
    <w:rsid w:val="00E12C5C"/>
    <w:rsid w:val="00E213BA"/>
    <w:rsid w:val="00E26893"/>
    <w:rsid w:val="00E26904"/>
    <w:rsid w:val="00E47CE2"/>
    <w:rsid w:val="00E54CA4"/>
    <w:rsid w:val="00E55D1F"/>
    <w:rsid w:val="00E667CF"/>
    <w:rsid w:val="00E71B7C"/>
    <w:rsid w:val="00E76366"/>
    <w:rsid w:val="00E77824"/>
    <w:rsid w:val="00E86555"/>
    <w:rsid w:val="00E8772B"/>
    <w:rsid w:val="00E9042B"/>
    <w:rsid w:val="00EA0BBA"/>
    <w:rsid w:val="00EA4F17"/>
    <w:rsid w:val="00EB2680"/>
    <w:rsid w:val="00EB712F"/>
    <w:rsid w:val="00EC7F1A"/>
    <w:rsid w:val="00ED2194"/>
    <w:rsid w:val="00ED274F"/>
    <w:rsid w:val="00EE7241"/>
    <w:rsid w:val="00F26463"/>
    <w:rsid w:val="00F27FD1"/>
    <w:rsid w:val="00F36FDE"/>
    <w:rsid w:val="00F41281"/>
    <w:rsid w:val="00F43305"/>
    <w:rsid w:val="00F445E8"/>
    <w:rsid w:val="00F61A63"/>
    <w:rsid w:val="00F62AB6"/>
    <w:rsid w:val="00F724B4"/>
    <w:rsid w:val="00F74676"/>
    <w:rsid w:val="00F76E38"/>
    <w:rsid w:val="00F77689"/>
    <w:rsid w:val="00FA1410"/>
    <w:rsid w:val="00FA24C7"/>
    <w:rsid w:val="00FB3E03"/>
    <w:rsid w:val="00FC0754"/>
    <w:rsid w:val="00FC646D"/>
    <w:rsid w:val="00FE79AE"/>
    <w:rsid w:val="00FF1A9F"/>
    <w:rsid w:val="00FF6DF8"/>
    <w:rsid w:val="42273CA1"/>
    <w:rsid w:val="63C82F8A"/>
    <w:rsid w:val="6B7E27FB"/>
    <w:rsid w:val="77E01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ody Text"/>
    <w:basedOn w:val="a"/>
    <w:pPr>
      <w:spacing w:line="340" w:lineRule="exact"/>
    </w:pPr>
    <w:rPr>
      <w:sz w:val="24"/>
    </w:rPr>
  </w:style>
  <w:style w:type="paragraph" w:styleId="a5">
    <w:name w:val="Plain Text"/>
    <w:basedOn w:val="a"/>
    <w:rPr>
      <w:rFonts w:ascii="宋体" w:hAnsi="Courier New"/>
      <w:szCs w:val="21"/>
    </w:rPr>
  </w:style>
  <w:style w:type="paragraph" w:styleId="a6">
    <w:name w:val="Balloon Text"/>
    <w:basedOn w:val="a"/>
    <w:semiHidden/>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character" w:styleId="a9">
    <w:name w:val="page number"/>
  </w:style>
  <w:style w:type="character" w:styleId="aa">
    <w:name w:val="Hyperlink"/>
    <w:rPr>
      <w:color w:val="0000FF"/>
      <w:u w:val="single"/>
    </w:rPr>
  </w:style>
  <w:style w:type="paragraph" w:customStyle="1" w:styleId="CharCharCharChar">
    <w:name w:val="Char Char 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ody Text"/>
    <w:basedOn w:val="a"/>
    <w:pPr>
      <w:spacing w:line="340" w:lineRule="exact"/>
    </w:pPr>
    <w:rPr>
      <w:sz w:val="24"/>
    </w:rPr>
  </w:style>
  <w:style w:type="paragraph" w:styleId="a5">
    <w:name w:val="Plain Text"/>
    <w:basedOn w:val="a"/>
    <w:rPr>
      <w:rFonts w:ascii="宋体" w:hAnsi="Courier New"/>
      <w:szCs w:val="21"/>
    </w:rPr>
  </w:style>
  <w:style w:type="paragraph" w:styleId="a6">
    <w:name w:val="Balloon Text"/>
    <w:basedOn w:val="a"/>
    <w:semiHidden/>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character" w:styleId="a9">
    <w:name w:val="page number"/>
  </w:style>
  <w:style w:type="character" w:styleId="aa">
    <w:name w:val="Hyperlink"/>
    <w:rPr>
      <w:color w:val="0000FF"/>
      <w:u w:val="single"/>
    </w:rPr>
  </w:style>
  <w:style w:type="paragraph" w:customStyle="1" w:styleId="CharCharCharChar">
    <w:name w:val="Char Char 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428</Words>
  <Characters>2443</Characters>
  <Application>Microsoft Office Word</Application>
  <DocSecurity>0</DocSecurity>
  <Lines>20</Lines>
  <Paragraphs>5</Paragraphs>
  <ScaleCrop>false</ScaleCrop>
  <Company>Microsoft</Company>
  <LinksUpToDate>false</LinksUpToDate>
  <CharactersWithSpaces>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潘玉军</dc:creator>
  <cp:lastModifiedBy>ZXT</cp:lastModifiedBy>
  <cp:revision>2</cp:revision>
  <cp:lastPrinted>2021-11-15T03:38:00Z</cp:lastPrinted>
  <dcterms:created xsi:type="dcterms:W3CDTF">2024-10-30T09:07:00Z</dcterms:created>
  <dcterms:modified xsi:type="dcterms:W3CDTF">2024-10-30T09:07:00Z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0701A6EF0CDA4C8DB05E18A117E089C1</vt:lpwstr>
  </property>
</Properties>
</file>