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9D7" w:rsidRDefault="005809D7">
      <w:pPr>
        <w:widowControl w:val="0"/>
        <w:spacing w:beforeLines="50" w:before="156"/>
        <w:jc w:val="center"/>
        <w:rPr>
          <w:rFonts w:hAnsi="宋体"/>
          <w:color w:val="000000"/>
          <w:kern w:val="2"/>
          <w:sz w:val="24"/>
          <w:szCs w:val="24"/>
        </w:rPr>
      </w:pPr>
      <w:bookmarkStart w:id="0" w:name="_GoBack"/>
      <w:bookmarkEnd w:id="0"/>
      <w:r>
        <w:rPr>
          <w:rFonts w:hAnsi="宋体"/>
          <w:color w:val="000000"/>
          <w:kern w:val="2"/>
          <w:sz w:val="24"/>
          <w:szCs w:val="24"/>
        </w:rPr>
        <w:t>证券代码：</w:t>
      </w:r>
      <w:r>
        <w:rPr>
          <w:rFonts w:hAnsi="宋体"/>
          <w:color w:val="000000"/>
          <w:kern w:val="2"/>
          <w:sz w:val="24"/>
          <w:szCs w:val="24"/>
        </w:rPr>
        <w:t>000488</w:t>
      </w:r>
      <w:r>
        <w:rPr>
          <w:rFonts w:hAnsi="宋体"/>
          <w:color w:val="000000"/>
          <w:kern w:val="2"/>
          <w:sz w:val="24"/>
          <w:szCs w:val="24"/>
        </w:rPr>
        <w:tab/>
        <w:t xml:space="preserve">200488     </w:t>
      </w:r>
      <w:r>
        <w:rPr>
          <w:rFonts w:hAnsi="宋体"/>
          <w:color w:val="000000"/>
          <w:kern w:val="2"/>
          <w:sz w:val="24"/>
          <w:szCs w:val="24"/>
        </w:rPr>
        <w:t>证券简称：</w:t>
      </w:r>
      <w:r>
        <w:rPr>
          <w:rFonts w:hAnsi="宋体"/>
          <w:color w:val="000000"/>
          <w:kern w:val="2"/>
          <w:sz w:val="24"/>
          <w:szCs w:val="24"/>
        </w:rPr>
        <w:t xml:space="preserve"> </w:t>
      </w:r>
      <w:r>
        <w:rPr>
          <w:rFonts w:hAnsi="宋体"/>
          <w:color w:val="000000"/>
          <w:kern w:val="2"/>
          <w:sz w:val="24"/>
          <w:szCs w:val="24"/>
        </w:rPr>
        <w:t>晨鸣纸业</w:t>
      </w:r>
      <w:r>
        <w:rPr>
          <w:rFonts w:hAnsi="宋体"/>
          <w:color w:val="000000"/>
          <w:kern w:val="2"/>
          <w:sz w:val="24"/>
          <w:szCs w:val="24"/>
        </w:rPr>
        <w:t xml:space="preserve"> </w:t>
      </w:r>
      <w:r>
        <w:rPr>
          <w:rFonts w:hAnsi="宋体"/>
          <w:color w:val="000000"/>
          <w:kern w:val="2"/>
          <w:sz w:val="24"/>
          <w:szCs w:val="24"/>
        </w:rPr>
        <w:t>晨鸣</w:t>
      </w:r>
      <w:r>
        <w:rPr>
          <w:rFonts w:hAnsi="宋体"/>
          <w:color w:val="000000"/>
          <w:kern w:val="2"/>
          <w:sz w:val="24"/>
          <w:szCs w:val="24"/>
        </w:rPr>
        <w:t>B</w:t>
      </w:r>
      <w:r>
        <w:rPr>
          <w:rFonts w:hAnsi="宋体"/>
          <w:color w:val="000000"/>
          <w:kern w:val="2"/>
          <w:sz w:val="24"/>
          <w:szCs w:val="24"/>
        </w:rPr>
        <w:tab/>
        <w:t xml:space="preserve">  </w:t>
      </w:r>
      <w:r>
        <w:rPr>
          <w:rFonts w:hAnsi="宋体"/>
          <w:color w:val="000000"/>
          <w:kern w:val="2"/>
          <w:sz w:val="24"/>
          <w:szCs w:val="24"/>
        </w:rPr>
        <w:t>公告编号：</w:t>
      </w:r>
      <w:r w:rsidR="0074119F">
        <w:rPr>
          <w:rFonts w:hAnsi="宋体"/>
          <w:color w:val="000000"/>
          <w:kern w:val="2"/>
          <w:sz w:val="24"/>
          <w:szCs w:val="24"/>
        </w:rPr>
        <w:t>202</w:t>
      </w:r>
      <w:r w:rsidR="008D1A07">
        <w:rPr>
          <w:rFonts w:hAnsi="宋体" w:hint="eastAsia"/>
          <w:color w:val="000000"/>
          <w:kern w:val="2"/>
          <w:sz w:val="24"/>
          <w:szCs w:val="24"/>
        </w:rPr>
        <w:t>4</w:t>
      </w:r>
      <w:r>
        <w:rPr>
          <w:rFonts w:hAnsi="宋体"/>
          <w:color w:val="000000"/>
          <w:kern w:val="2"/>
          <w:sz w:val="24"/>
          <w:szCs w:val="24"/>
        </w:rPr>
        <w:t>-</w:t>
      </w:r>
      <w:r w:rsidR="00436A98">
        <w:rPr>
          <w:rFonts w:hAnsi="宋体" w:hint="eastAsia"/>
          <w:color w:val="000000"/>
          <w:kern w:val="2"/>
          <w:sz w:val="24"/>
          <w:szCs w:val="24"/>
        </w:rPr>
        <w:t>03</w:t>
      </w:r>
      <w:r w:rsidR="00802795">
        <w:rPr>
          <w:rFonts w:hAnsi="宋体" w:hint="eastAsia"/>
          <w:color w:val="000000"/>
          <w:kern w:val="2"/>
          <w:sz w:val="24"/>
          <w:szCs w:val="24"/>
        </w:rPr>
        <w:t>9</w:t>
      </w:r>
    </w:p>
    <w:p w:rsidR="005809D7" w:rsidRDefault="005809D7">
      <w:pPr>
        <w:widowControl w:val="0"/>
        <w:spacing w:beforeLines="50" w:before="156"/>
        <w:jc w:val="center"/>
        <w:rPr>
          <w:b/>
          <w:color w:val="000000"/>
          <w:kern w:val="2"/>
          <w:sz w:val="32"/>
          <w:szCs w:val="32"/>
        </w:rPr>
      </w:pPr>
      <w:r>
        <w:rPr>
          <w:rFonts w:hAnsi="宋体"/>
          <w:b/>
          <w:color w:val="000000"/>
          <w:kern w:val="2"/>
          <w:sz w:val="32"/>
          <w:szCs w:val="32"/>
        </w:rPr>
        <w:t>山东晨鸣纸业集团股份有限公司</w:t>
      </w:r>
    </w:p>
    <w:p w:rsidR="005809D7" w:rsidRDefault="005809D7">
      <w:pPr>
        <w:widowControl w:val="0"/>
        <w:jc w:val="center"/>
        <w:rPr>
          <w:b/>
          <w:color w:val="000000"/>
          <w:kern w:val="2"/>
          <w:sz w:val="32"/>
          <w:szCs w:val="32"/>
        </w:rPr>
      </w:pPr>
      <w:r>
        <w:rPr>
          <w:rFonts w:hAnsi="宋体"/>
          <w:b/>
          <w:color w:val="000000"/>
          <w:kern w:val="2"/>
          <w:sz w:val="32"/>
          <w:szCs w:val="32"/>
        </w:rPr>
        <w:t>第</w:t>
      </w:r>
      <w:r>
        <w:rPr>
          <w:rFonts w:hAnsi="宋体" w:hint="eastAsia"/>
          <w:b/>
          <w:color w:val="000000"/>
          <w:kern w:val="2"/>
          <w:sz w:val="32"/>
          <w:szCs w:val="32"/>
        </w:rPr>
        <w:t>十</w:t>
      </w:r>
      <w:r>
        <w:rPr>
          <w:rFonts w:hAnsi="宋体"/>
          <w:b/>
          <w:color w:val="000000"/>
          <w:kern w:val="2"/>
          <w:sz w:val="32"/>
          <w:szCs w:val="32"/>
        </w:rPr>
        <w:t>届董事会</w:t>
      </w:r>
      <w:r w:rsidR="008D1A07">
        <w:rPr>
          <w:rFonts w:hAnsi="宋体"/>
          <w:b/>
          <w:color w:val="000000"/>
          <w:kern w:val="2"/>
          <w:sz w:val="32"/>
          <w:szCs w:val="32"/>
        </w:rPr>
        <w:t>第</w:t>
      </w:r>
      <w:r w:rsidR="008D1A07">
        <w:rPr>
          <w:rFonts w:hAnsi="宋体" w:hint="eastAsia"/>
          <w:b/>
          <w:color w:val="000000"/>
          <w:kern w:val="2"/>
          <w:sz w:val="32"/>
          <w:szCs w:val="32"/>
        </w:rPr>
        <w:t>十</w:t>
      </w:r>
      <w:r w:rsidR="00CB0935">
        <w:rPr>
          <w:rFonts w:hAnsi="宋体" w:hint="eastAsia"/>
          <w:b/>
          <w:color w:val="000000"/>
          <w:kern w:val="2"/>
          <w:sz w:val="32"/>
          <w:szCs w:val="32"/>
        </w:rPr>
        <w:t>五</w:t>
      </w:r>
      <w:r w:rsidR="009F6F15">
        <w:rPr>
          <w:rFonts w:hAnsi="宋体"/>
          <w:b/>
          <w:color w:val="000000"/>
          <w:kern w:val="2"/>
          <w:sz w:val="32"/>
          <w:szCs w:val="32"/>
        </w:rPr>
        <w:t>次</w:t>
      </w:r>
      <w:r>
        <w:rPr>
          <w:rFonts w:hAnsi="宋体"/>
          <w:b/>
          <w:color w:val="000000"/>
          <w:kern w:val="2"/>
          <w:sz w:val="32"/>
          <w:szCs w:val="32"/>
        </w:rPr>
        <w:t>临时会议决议</w:t>
      </w:r>
      <w:r>
        <w:rPr>
          <w:rFonts w:hAnsi="宋体" w:hint="eastAsia"/>
          <w:b/>
          <w:color w:val="000000"/>
          <w:kern w:val="2"/>
          <w:sz w:val="32"/>
          <w:szCs w:val="32"/>
        </w:rPr>
        <w:t>公告</w:t>
      </w:r>
    </w:p>
    <w:p w:rsidR="005809D7" w:rsidRDefault="005809D7">
      <w:pPr>
        <w:spacing w:beforeLines="100" w:before="312" w:line="460" w:lineRule="exact"/>
        <w:ind w:firstLineChars="200" w:firstLine="480"/>
        <w:rPr>
          <w:color w:val="000000"/>
          <w:sz w:val="24"/>
        </w:rPr>
      </w:pPr>
      <w:r>
        <w:rPr>
          <w:color w:val="000000"/>
          <w:sz w:val="24"/>
        </w:rPr>
        <w:t>本公司及</w:t>
      </w:r>
      <w:r>
        <w:rPr>
          <w:rFonts w:hint="eastAsia"/>
          <w:color w:val="000000"/>
          <w:sz w:val="24"/>
        </w:rPr>
        <w:t>董</w:t>
      </w:r>
      <w:r>
        <w:rPr>
          <w:color w:val="000000"/>
          <w:sz w:val="24"/>
        </w:rPr>
        <w:t>事会全体成员保证信息披露的内容真实、准确、完整，没有虚假记载、误导性陈述或重大遗漏。</w:t>
      </w:r>
    </w:p>
    <w:p w:rsidR="005809D7" w:rsidRDefault="005809D7">
      <w:pPr>
        <w:spacing w:line="440" w:lineRule="exact"/>
        <w:ind w:firstLineChars="200" w:firstLine="480"/>
        <w:rPr>
          <w:sz w:val="24"/>
        </w:rPr>
      </w:pPr>
      <w:r>
        <w:rPr>
          <w:sz w:val="24"/>
        </w:rPr>
        <w:t>山东晨鸣纸业集团股份有限公司（以下简</w:t>
      </w:r>
      <w:r>
        <w:rPr>
          <w:rFonts w:ascii="宋体" w:hAnsi="宋体"/>
          <w:sz w:val="24"/>
        </w:rPr>
        <w:t>称“公司”</w:t>
      </w:r>
      <w:r>
        <w:rPr>
          <w:sz w:val="24"/>
        </w:rPr>
        <w:t>）第</w:t>
      </w:r>
      <w:r>
        <w:rPr>
          <w:rFonts w:hint="eastAsia"/>
          <w:sz w:val="24"/>
        </w:rPr>
        <w:t>十</w:t>
      </w:r>
      <w:r>
        <w:rPr>
          <w:sz w:val="24"/>
        </w:rPr>
        <w:t>届董事会</w:t>
      </w:r>
      <w:r w:rsidR="008D1A07">
        <w:rPr>
          <w:sz w:val="24"/>
        </w:rPr>
        <w:t>第</w:t>
      </w:r>
      <w:r w:rsidR="008D1A07">
        <w:rPr>
          <w:rFonts w:hint="eastAsia"/>
          <w:sz w:val="24"/>
        </w:rPr>
        <w:t>十</w:t>
      </w:r>
      <w:r w:rsidR="00CB0935">
        <w:rPr>
          <w:rFonts w:hint="eastAsia"/>
          <w:sz w:val="24"/>
        </w:rPr>
        <w:t>五</w:t>
      </w:r>
      <w:r w:rsidR="009F6F15">
        <w:rPr>
          <w:sz w:val="24"/>
        </w:rPr>
        <w:t>次</w:t>
      </w:r>
      <w:r>
        <w:rPr>
          <w:sz w:val="24"/>
        </w:rPr>
        <w:t>临时会议通知于</w:t>
      </w:r>
      <w:r w:rsidR="008D1A07">
        <w:rPr>
          <w:rFonts w:hint="eastAsia"/>
          <w:sz w:val="24"/>
        </w:rPr>
        <w:t>2024</w:t>
      </w:r>
      <w:r>
        <w:rPr>
          <w:sz w:val="24"/>
        </w:rPr>
        <w:t>年</w:t>
      </w:r>
      <w:r w:rsidR="00F12215">
        <w:rPr>
          <w:rFonts w:hint="eastAsia"/>
          <w:sz w:val="24"/>
        </w:rPr>
        <w:t>7</w:t>
      </w:r>
      <w:r>
        <w:rPr>
          <w:sz w:val="24"/>
        </w:rPr>
        <w:t>月</w:t>
      </w:r>
      <w:r w:rsidR="00CB0935">
        <w:rPr>
          <w:rFonts w:hint="eastAsia"/>
          <w:sz w:val="24"/>
        </w:rPr>
        <w:t>26</w:t>
      </w:r>
      <w:r>
        <w:rPr>
          <w:sz w:val="24"/>
        </w:rPr>
        <w:t>日以书面、邮件方式送达各位董事，会议于</w:t>
      </w:r>
      <w:r w:rsidR="008D1A07">
        <w:rPr>
          <w:rFonts w:hint="eastAsia"/>
          <w:sz w:val="24"/>
        </w:rPr>
        <w:t>2024</w:t>
      </w:r>
      <w:r>
        <w:rPr>
          <w:sz w:val="24"/>
        </w:rPr>
        <w:t>年</w:t>
      </w:r>
      <w:r>
        <w:rPr>
          <w:rFonts w:hint="eastAsia"/>
          <w:sz w:val="24"/>
        </w:rPr>
        <w:t>7</w:t>
      </w:r>
      <w:r>
        <w:rPr>
          <w:sz w:val="24"/>
        </w:rPr>
        <w:t>月</w:t>
      </w:r>
      <w:r w:rsidR="00CB0935">
        <w:rPr>
          <w:rFonts w:hint="eastAsia"/>
          <w:sz w:val="24"/>
        </w:rPr>
        <w:t>31</w:t>
      </w:r>
      <w:r>
        <w:rPr>
          <w:sz w:val="24"/>
        </w:rPr>
        <w:t>日以通讯方式召开。会议应参加董事</w:t>
      </w:r>
      <w:r>
        <w:rPr>
          <w:rFonts w:hint="eastAsia"/>
          <w:sz w:val="24"/>
        </w:rPr>
        <w:t>11</w:t>
      </w:r>
      <w:r>
        <w:rPr>
          <w:sz w:val="24"/>
        </w:rPr>
        <w:t>人，实际参加董事</w:t>
      </w:r>
      <w:r>
        <w:rPr>
          <w:rFonts w:hint="eastAsia"/>
          <w:sz w:val="24"/>
        </w:rPr>
        <w:t>11</w:t>
      </w:r>
      <w:r>
        <w:rPr>
          <w:sz w:val="24"/>
        </w:rPr>
        <w:t>人。本次董事会的召开符合国家有关</w:t>
      </w:r>
      <w:r w:rsidR="001F6F8F">
        <w:rPr>
          <w:sz w:val="24"/>
        </w:rPr>
        <w:t>法律</w:t>
      </w:r>
      <w:r>
        <w:rPr>
          <w:sz w:val="24"/>
        </w:rPr>
        <w:t>法规和《公司章程》的规定。</w:t>
      </w:r>
    </w:p>
    <w:p w:rsidR="005809D7" w:rsidRDefault="005809D7">
      <w:pPr>
        <w:spacing w:line="440" w:lineRule="exact"/>
        <w:ind w:firstLineChars="200" w:firstLine="480"/>
        <w:rPr>
          <w:sz w:val="24"/>
        </w:rPr>
      </w:pPr>
      <w:r>
        <w:rPr>
          <w:sz w:val="24"/>
        </w:rPr>
        <w:t>与会董事认真审议并一致通过了本次会议的</w:t>
      </w:r>
      <w:r w:rsidR="008D1A07">
        <w:rPr>
          <w:rFonts w:hint="eastAsia"/>
          <w:sz w:val="24"/>
        </w:rPr>
        <w:t>各项</w:t>
      </w:r>
      <w:r>
        <w:rPr>
          <w:sz w:val="24"/>
        </w:rPr>
        <w:t>议案，形成会议决议如下：</w:t>
      </w:r>
    </w:p>
    <w:p w:rsidR="005809D7" w:rsidRDefault="005809D7">
      <w:pPr>
        <w:spacing w:line="440" w:lineRule="exact"/>
        <w:ind w:firstLine="482"/>
        <w:outlineLvl w:val="0"/>
        <w:rPr>
          <w:b/>
          <w:sz w:val="24"/>
        </w:rPr>
      </w:pPr>
      <w:r>
        <w:rPr>
          <w:b/>
          <w:sz w:val="24"/>
        </w:rPr>
        <w:t>一、审议通过了《</w:t>
      </w:r>
      <w:r w:rsidR="008B69BB" w:rsidRPr="008B69BB">
        <w:rPr>
          <w:rFonts w:hint="eastAsia"/>
          <w:b/>
          <w:sz w:val="24"/>
        </w:rPr>
        <w:t>关于</w:t>
      </w:r>
      <w:r w:rsidR="008B69BB" w:rsidRPr="008B69BB">
        <w:rPr>
          <w:rFonts w:hint="eastAsia"/>
          <w:b/>
          <w:sz w:val="24"/>
        </w:rPr>
        <w:t>2020</w:t>
      </w:r>
      <w:r w:rsidR="008B69BB" w:rsidRPr="008B69BB">
        <w:rPr>
          <w:rFonts w:hint="eastAsia"/>
          <w:b/>
          <w:sz w:val="24"/>
        </w:rPr>
        <w:t>年</w:t>
      </w:r>
      <w:r w:rsidR="008B69BB" w:rsidRPr="008B69BB">
        <w:rPr>
          <w:rFonts w:hint="eastAsia"/>
          <w:b/>
          <w:sz w:val="24"/>
        </w:rPr>
        <w:t>A</w:t>
      </w:r>
      <w:r w:rsidR="008D1A07">
        <w:rPr>
          <w:rFonts w:hint="eastAsia"/>
          <w:b/>
          <w:sz w:val="24"/>
        </w:rPr>
        <w:t>股限制性股票激励计划第三</w:t>
      </w:r>
      <w:r w:rsidR="008B69BB" w:rsidRPr="008B69BB">
        <w:rPr>
          <w:rFonts w:hint="eastAsia"/>
          <w:b/>
          <w:sz w:val="24"/>
        </w:rPr>
        <w:t>个解除限售期解除限售条件未成就暨回购注销限制性股票的议案</w:t>
      </w:r>
      <w:r>
        <w:rPr>
          <w:b/>
          <w:sz w:val="24"/>
        </w:rPr>
        <w:t>》</w:t>
      </w:r>
    </w:p>
    <w:p w:rsidR="005809D7" w:rsidRDefault="00C96CAF" w:rsidP="00471E44">
      <w:pPr>
        <w:spacing w:line="440" w:lineRule="exact"/>
        <w:ind w:firstLineChars="200" w:firstLine="480"/>
        <w:jc w:val="both"/>
        <w:rPr>
          <w:sz w:val="24"/>
        </w:rPr>
      </w:pPr>
      <w:r>
        <w:rPr>
          <w:rFonts w:hint="eastAsia"/>
          <w:sz w:val="24"/>
        </w:rPr>
        <w:t>根据公司已披露的《</w:t>
      </w:r>
      <w:r w:rsidR="008D1A07">
        <w:rPr>
          <w:rFonts w:hint="eastAsia"/>
          <w:sz w:val="24"/>
        </w:rPr>
        <w:t>2023</w:t>
      </w:r>
      <w:r>
        <w:rPr>
          <w:rFonts w:hint="eastAsia"/>
          <w:sz w:val="24"/>
        </w:rPr>
        <w:t>年度报告》及</w:t>
      </w:r>
      <w:r w:rsidRPr="00C96CAF">
        <w:rPr>
          <w:rFonts w:hint="eastAsia"/>
          <w:sz w:val="24"/>
        </w:rPr>
        <w:t>致同会计师事务所（特殊普通合伙）出具的</w:t>
      </w:r>
      <w:r w:rsidRPr="00C96CAF">
        <w:rPr>
          <w:rFonts w:hint="eastAsia"/>
          <w:sz w:val="24"/>
        </w:rPr>
        <w:t xml:space="preserve"> </w:t>
      </w:r>
      <w:r w:rsidR="008D1A07">
        <w:rPr>
          <w:rFonts w:hint="eastAsia"/>
          <w:sz w:val="24"/>
        </w:rPr>
        <w:t>《公司二〇二三</w:t>
      </w:r>
      <w:r w:rsidRPr="00C96CAF">
        <w:rPr>
          <w:rFonts w:hint="eastAsia"/>
          <w:sz w:val="24"/>
        </w:rPr>
        <w:t>年度审计报告》</w:t>
      </w:r>
      <w:r>
        <w:rPr>
          <w:rFonts w:hint="eastAsia"/>
          <w:sz w:val="24"/>
        </w:rPr>
        <w:t>，</w:t>
      </w:r>
      <w:r w:rsidRPr="00C96CAF">
        <w:rPr>
          <w:rFonts w:hint="eastAsia"/>
          <w:sz w:val="24"/>
        </w:rPr>
        <w:t>公司</w:t>
      </w:r>
      <w:r w:rsidR="008D1A07">
        <w:rPr>
          <w:rFonts w:hint="eastAsia"/>
          <w:sz w:val="24"/>
        </w:rPr>
        <w:t>2023</w:t>
      </w:r>
      <w:r w:rsidRPr="00C96CAF">
        <w:rPr>
          <w:rFonts w:hint="eastAsia"/>
          <w:sz w:val="24"/>
        </w:rPr>
        <w:t>年度</w:t>
      </w:r>
      <w:r>
        <w:rPr>
          <w:rFonts w:hint="eastAsia"/>
          <w:sz w:val="24"/>
        </w:rPr>
        <w:t>业绩</w:t>
      </w:r>
      <w:r w:rsidRPr="00C96CAF">
        <w:rPr>
          <w:rFonts w:hint="eastAsia"/>
          <w:sz w:val="24"/>
        </w:rPr>
        <w:t>未达到《</w:t>
      </w:r>
      <w:r w:rsidRPr="00C96CAF">
        <w:rPr>
          <w:sz w:val="24"/>
        </w:rPr>
        <w:t>2020</w:t>
      </w:r>
      <w:r w:rsidRPr="00C96CAF">
        <w:rPr>
          <w:sz w:val="24"/>
        </w:rPr>
        <w:t>年</w:t>
      </w:r>
      <w:r w:rsidRPr="00C96CAF">
        <w:rPr>
          <w:sz w:val="24"/>
        </w:rPr>
        <w:t>A</w:t>
      </w:r>
      <w:r w:rsidRPr="00C96CAF">
        <w:rPr>
          <w:sz w:val="24"/>
        </w:rPr>
        <w:t>股限制性股票激励计划（草案）</w:t>
      </w:r>
      <w:r w:rsidRPr="00C96CAF">
        <w:rPr>
          <w:rFonts w:hint="eastAsia"/>
          <w:sz w:val="24"/>
        </w:rPr>
        <w:t>》</w:t>
      </w:r>
      <w:r w:rsidR="00424A3A">
        <w:rPr>
          <w:rFonts w:hint="eastAsia"/>
          <w:sz w:val="24"/>
        </w:rPr>
        <w:t>（以下简称“《激励计划（草案）》”）</w:t>
      </w:r>
      <w:r>
        <w:rPr>
          <w:rFonts w:hint="eastAsia"/>
          <w:sz w:val="24"/>
        </w:rPr>
        <w:t>及</w:t>
      </w:r>
      <w:r w:rsidRPr="00C96CAF">
        <w:rPr>
          <w:rFonts w:hint="eastAsia"/>
          <w:sz w:val="24"/>
        </w:rPr>
        <w:t>《</w:t>
      </w:r>
      <w:r w:rsidRPr="00C96CAF">
        <w:rPr>
          <w:rFonts w:hint="eastAsia"/>
          <w:sz w:val="24"/>
        </w:rPr>
        <w:t>2020</w:t>
      </w:r>
      <w:r w:rsidRPr="00C96CAF">
        <w:rPr>
          <w:rFonts w:hint="eastAsia"/>
          <w:sz w:val="24"/>
        </w:rPr>
        <w:t>年</w:t>
      </w:r>
      <w:r w:rsidRPr="00C96CAF">
        <w:rPr>
          <w:rFonts w:hint="eastAsia"/>
          <w:sz w:val="24"/>
        </w:rPr>
        <w:t>A</w:t>
      </w:r>
      <w:r w:rsidRPr="00C96CAF">
        <w:rPr>
          <w:rFonts w:hint="eastAsia"/>
          <w:sz w:val="24"/>
        </w:rPr>
        <w:t>股限制性股票激励计划实施考核管理办法》</w:t>
      </w:r>
      <w:r>
        <w:rPr>
          <w:rFonts w:hint="eastAsia"/>
          <w:sz w:val="24"/>
        </w:rPr>
        <w:t>设定的</w:t>
      </w:r>
      <w:r w:rsidR="008D1A07">
        <w:rPr>
          <w:rFonts w:hint="eastAsia"/>
          <w:sz w:val="24"/>
        </w:rPr>
        <w:t>第三</w:t>
      </w:r>
      <w:r w:rsidRPr="00C96CAF">
        <w:rPr>
          <w:rFonts w:hint="eastAsia"/>
          <w:sz w:val="24"/>
        </w:rPr>
        <w:t>个解除限售期公司层面业绩考核目标</w:t>
      </w:r>
      <w:r w:rsidR="00B87624">
        <w:rPr>
          <w:rFonts w:hint="eastAsia"/>
          <w:sz w:val="24"/>
        </w:rPr>
        <w:t>。</w:t>
      </w:r>
      <w:r w:rsidR="005809D7">
        <w:rPr>
          <w:sz w:val="24"/>
        </w:rPr>
        <w:t>根据公司</w:t>
      </w:r>
      <w:r w:rsidR="005809D7">
        <w:rPr>
          <w:rFonts w:hint="eastAsia"/>
          <w:sz w:val="24"/>
        </w:rPr>
        <w:t>2020</w:t>
      </w:r>
      <w:r w:rsidR="005809D7">
        <w:rPr>
          <w:rFonts w:hint="eastAsia"/>
          <w:sz w:val="24"/>
        </w:rPr>
        <w:t>年第二次临时股东大会、</w:t>
      </w:r>
      <w:r w:rsidR="005809D7">
        <w:rPr>
          <w:rFonts w:hint="eastAsia"/>
          <w:sz w:val="24"/>
        </w:rPr>
        <w:t>2020</w:t>
      </w:r>
      <w:r w:rsidR="005809D7">
        <w:rPr>
          <w:rFonts w:hint="eastAsia"/>
          <w:sz w:val="24"/>
        </w:rPr>
        <w:t>年第一次境内上市股份类别股东大会及</w:t>
      </w:r>
      <w:r w:rsidR="005809D7">
        <w:rPr>
          <w:rFonts w:hint="eastAsia"/>
          <w:sz w:val="24"/>
        </w:rPr>
        <w:t>2020</w:t>
      </w:r>
      <w:r w:rsidR="005809D7">
        <w:rPr>
          <w:rFonts w:hint="eastAsia"/>
          <w:sz w:val="24"/>
        </w:rPr>
        <w:t>年第一次境外上市股份类别股东大会的授权，</w:t>
      </w:r>
      <w:r w:rsidR="00B87624" w:rsidRPr="00B87624">
        <w:rPr>
          <w:rFonts w:hint="eastAsia"/>
          <w:sz w:val="24"/>
        </w:rPr>
        <w:t>公司董事会拟</w:t>
      </w:r>
      <w:r w:rsidR="00B87624">
        <w:rPr>
          <w:rFonts w:hint="eastAsia"/>
          <w:sz w:val="24"/>
        </w:rPr>
        <w:t>回购注销</w:t>
      </w:r>
      <w:r w:rsidR="008D1A07">
        <w:rPr>
          <w:rFonts w:hint="eastAsia"/>
          <w:sz w:val="24"/>
        </w:rPr>
        <w:t>93</w:t>
      </w:r>
      <w:r w:rsidR="008D1A07">
        <w:rPr>
          <w:rFonts w:hint="eastAsia"/>
          <w:sz w:val="24"/>
        </w:rPr>
        <w:t>名</w:t>
      </w:r>
      <w:r w:rsidR="0016439D">
        <w:rPr>
          <w:rFonts w:hint="eastAsia"/>
          <w:sz w:val="24"/>
        </w:rPr>
        <w:t>激励对象</w:t>
      </w:r>
      <w:proofErr w:type="gramStart"/>
      <w:r w:rsidR="0016439D">
        <w:rPr>
          <w:rFonts w:hint="eastAsia"/>
          <w:sz w:val="24"/>
        </w:rPr>
        <w:t>已获授但尚未</w:t>
      </w:r>
      <w:proofErr w:type="gramEnd"/>
      <w:r w:rsidR="0016439D">
        <w:rPr>
          <w:rFonts w:hint="eastAsia"/>
          <w:sz w:val="24"/>
        </w:rPr>
        <w:t>解除限售的</w:t>
      </w:r>
      <w:r w:rsidR="00B87624" w:rsidRPr="00B87624">
        <w:rPr>
          <w:rFonts w:hint="eastAsia"/>
          <w:sz w:val="24"/>
        </w:rPr>
        <w:t>22,</w:t>
      </w:r>
      <w:r w:rsidR="008D1A07">
        <w:rPr>
          <w:rFonts w:hint="eastAsia"/>
          <w:sz w:val="24"/>
        </w:rPr>
        <w:t>257</w:t>
      </w:r>
      <w:r w:rsidR="00B87624" w:rsidRPr="00B87624">
        <w:rPr>
          <w:rFonts w:hint="eastAsia"/>
          <w:sz w:val="24"/>
        </w:rPr>
        <w:t>,000</w:t>
      </w:r>
      <w:r w:rsidR="00B87624" w:rsidRPr="00B87624">
        <w:rPr>
          <w:rFonts w:hint="eastAsia"/>
          <w:sz w:val="24"/>
        </w:rPr>
        <w:t>股</w:t>
      </w:r>
      <w:r w:rsidR="00B87624" w:rsidRPr="00B87624">
        <w:rPr>
          <w:rFonts w:hint="eastAsia"/>
          <w:sz w:val="24"/>
        </w:rPr>
        <w:t>A</w:t>
      </w:r>
      <w:r w:rsidR="00B87624">
        <w:rPr>
          <w:rFonts w:hint="eastAsia"/>
          <w:sz w:val="24"/>
        </w:rPr>
        <w:t>股限制性股票</w:t>
      </w:r>
      <w:r w:rsidR="008D1A07">
        <w:rPr>
          <w:rFonts w:hint="eastAsia"/>
          <w:sz w:val="24"/>
        </w:rPr>
        <w:t>，</w:t>
      </w:r>
      <w:r w:rsidR="00B87624" w:rsidRPr="00B87624">
        <w:rPr>
          <w:rFonts w:hint="eastAsia"/>
          <w:sz w:val="24"/>
        </w:rPr>
        <w:t>回购价格为</w:t>
      </w:r>
      <w:r w:rsidR="00B87624" w:rsidRPr="00B87624">
        <w:rPr>
          <w:rFonts w:hint="eastAsia"/>
          <w:sz w:val="24"/>
        </w:rPr>
        <w:t>2.5184172</w:t>
      </w:r>
      <w:r w:rsidR="00B87624" w:rsidRPr="00B87624">
        <w:rPr>
          <w:rFonts w:hint="eastAsia"/>
          <w:sz w:val="24"/>
        </w:rPr>
        <w:t>元</w:t>
      </w:r>
      <w:r w:rsidR="00B87624" w:rsidRPr="00B87624">
        <w:rPr>
          <w:sz w:val="24"/>
        </w:rPr>
        <w:t>/</w:t>
      </w:r>
      <w:r w:rsidR="00B87624" w:rsidRPr="00B87624">
        <w:rPr>
          <w:rFonts w:hint="eastAsia"/>
          <w:sz w:val="24"/>
        </w:rPr>
        <w:t>股（未含银行同期贷款利率）</w:t>
      </w:r>
      <w:r w:rsidR="00B87624">
        <w:rPr>
          <w:rFonts w:hint="eastAsia"/>
          <w:sz w:val="24"/>
        </w:rPr>
        <w:t>，</w:t>
      </w:r>
      <w:r w:rsidR="00B87624" w:rsidRPr="00B87624">
        <w:rPr>
          <w:rFonts w:hint="eastAsia"/>
          <w:sz w:val="24"/>
        </w:rPr>
        <w:t>加上银行同期贷款利息</w:t>
      </w:r>
      <w:r w:rsidR="00B87624">
        <w:rPr>
          <w:rFonts w:hint="eastAsia"/>
          <w:sz w:val="24"/>
        </w:rPr>
        <w:t>后</w:t>
      </w:r>
      <w:r w:rsidR="00B87624" w:rsidRPr="00B87624">
        <w:rPr>
          <w:rFonts w:hint="eastAsia"/>
          <w:sz w:val="24"/>
        </w:rPr>
        <w:t>，本次所需回购资金总额为</w:t>
      </w:r>
      <w:r w:rsidR="001F6F8F">
        <w:rPr>
          <w:rFonts w:hint="eastAsia"/>
          <w:sz w:val="24"/>
        </w:rPr>
        <w:t>人民币</w:t>
      </w:r>
      <w:r w:rsidR="00B87624" w:rsidRPr="00B87624">
        <w:rPr>
          <w:rFonts w:hint="eastAsia"/>
          <w:sz w:val="24"/>
        </w:rPr>
        <w:t>6,</w:t>
      </w:r>
      <w:r w:rsidR="007E04E7">
        <w:rPr>
          <w:rFonts w:hint="eastAsia"/>
          <w:sz w:val="24"/>
        </w:rPr>
        <w:t>705</w:t>
      </w:r>
      <w:r w:rsidR="008D1A07">
        <w:rPr>
          <w:rFonts w:hint="eastAsia"/>
          <w:sz w:val="24"/>
        </w:rPr>
        <w:t>.</w:t>
      </w:r>
      <w:r w:rsidR="007E04E7">
        <w:rPr>
          <w:rFonts w:hint="eastAsia"/>
          <w:sz w:val="24"/>
        </w:rPr>
        <w:t>97</w:t>
      </w:r>
      <w:r w:rsidR="00B87624" w:rsidRPr="00B87624">
        <w:rPr>
          <w:rFonts w:hint="eastAsia"/>
          <w:sz w:val="24"/>
        </w:rPr>
        <w:t>万元</w:t>
      </w:r>
      <w:r w:rsidR="005809D7">
        <w:rPr>
          <w:sz w:val="24"/>
        </w:rPr>
        <w:t>。</w:t>
      </w:r>
      <w:r w:rsidR="00424A3A" w:rsidRPr="00424A3A">
        <w:rPr>
          <w:rFonts w:hint="eastAsia"/>
          <w:sz w:val="24"/>
        </w:rPr>
        <w:t>本次回购</w:t>
      </w:r>
      <w:r w:rsidR="00424A3A">
        <w:rPr>
          <w:rFonts w:hint="eastAsia"/>
          <w:sz w:val="24"/>
        </w:rPr>
        <w:t>注销部分限制性股票</w:t>
      </w:r>
      <w:r w:rsidR="00424A3A" w:rsidRPr="00424A3A">
        <w:rPr>
          <w:rFonts w:hint="eastAsia"/>
          <w:sz w:val="24"/>
        </w:rPr>
        <w:t>事项符合法律、行政法规、部门规章、规范性文件、</w:t>
      </w:r>
      <w:r w:rsidR="00424A3A">
        <w:rPr>
          <w:rFonts w:hint="eastAsia"/>
          <w:sz w:val="24"/>
        </w:rPr>
        <w:t>《</w:t>
      </w:r>
      <w:r w:rsidR="00424A3A" w:rsidRPr="00424A3A">
        <w:rPr>
          <w:rFonts w:hint="eastAsia"/>
          <w:sz w:val="24"/>
        </w:rPr>
        <w:t>公司章程</w:t>
      </w:r>
      <w:r w:rsidR="00424A3A">
        <w:rPr>
          <w:rFonts w:hint="eastAsia"/>
          <w:sz w:val="24"/>
        </w:rPr>
        <w:t>》及《激励计划（草案）》</w:t>
      </w:r>
      <w:r w:rsidR="00424A3A" w:rsidRPr="00424A3A">
        <w:rPr>
          <w:rFonts w:hint="eastAsia"/>
          <w:sz w:val="24"/>
        </w:rPr>
        <w:t>等的相关规定</w:t>
      </w:r>
      <w:r w:rsidR="00424A3A">
        <w:rPr>
          <w:rFonts w:hint="eastAsia"/>
          <w:sz w:val="24"/>
        </w:rPr>
        <w:t>，</w:t>
      </w:r>
      <w:r w:rsidR="005809D7">
        <w:rPr>
          <w:rFonts w:hint="eastAsia"/>
          <w:sz w:val="24"/>
        </w:rPr>
        <w:t>北京雍行律师事务所出具了法律意见书。</w:t>
      </w:r>
    </w:p>
    <w:p w:rsidR="005809D7" w:rsidRDefault="00471E44">
      <w:pPr>
        <w:spacing w:line="440" w:lineRule="exact"/>
        <w:ind w:firstLineChars="200" w:firstLine="480"/>
        <w:jc w:val="both"/>
        <w:rPr>
          <w:sz w:val="24"/>
        </w:rPr>
      </w:pPr>
      <w:r>
        <w:rPr>
          <w:rFonts w:hint="eastAsia"/>
          <w:sz w:val="24"/>
        </w:rPr>
        <w:t>该议案已经</w:t>
      </w:r>
      <w:r>
        <w:rPr>
          <w:rFonts w:hint="eastAsia"/>
          <w:sz w:val="24"/>
          <w:szCs w:val="24"/>
        </w:rPr>
        <w:t>公司</w:t>
      </w:r>
      <w:r w:rsidRPr="00D07C42">
        <w:rPr>
          <w:rFonts w:hint="eastAsia"/>
          <w:sz w:val="24"/>
          <w:szCs w:val="24"/>
        </w:rPr>
        <w:t>第十届董事会独立董事专门会议第一次会议</w:t>
      </w:r>
      <w:r>
        <w:rPr>
          <w:rFonts w:hint="eastAsia"/>
          <w:sz w:val="24"/>
          <w:szCs w:val="24"/>
        </w:rPr>
        <w:t>审议通过。</w:t>
      </w:r>
      <w:r w:rsidR="005809D7">
        <w:rPr>
          <w:rFonts w:hint="eastAsia"/>
          <w:sz w:val="24"/>
        </w:rPr>
        <w:t>董事陈洪国先生、胡长青先生、李兴春先生、李峰先生、李伟先先生为本次限制性股票激励计划的激励对象，系关联董事，已回避表决。</w:t>
      </w:r>
    </w:p>
    <w:p w:rsidR="005809D7" w:rsidRDefault="005809D7">
      <w:pPr>
        <w:spacing w:line="440" w:lineRule="exact"/>
        <w:ind w:firstLine="482"/>
        <w:jc w:val="both"/>
        <w:rPr>
          <w:sz w:val="24"/>
        </w:rPr>
      </w:pPr>
      <w:r>
        <w:rPr>
          <w:sz w:val="24"/>
        </w:rPr>
        <w:t>本议案表决结果：同意票</w:t>
      </w:r>
      <w:r>
        <w:rPr>
          <w:rFonts w:hint="eastAsia"/>
          <w:sz w:val="24"/>
        </w:rPr>
        <w:t>6</w:t>
      </w:r>
      <w:r>
        <w:rPr>
          <w:sz w:val="24"/>
        </w:rPr>
        <w:t>票，反对票</w:t>
      </w:r>
      <w:r>
        <w:rPr>
          <w:sz w:val="24"/>
        </w:rPr>
        <w:t>0</w:t>
      </w:r>
      <w:r>
        <w:rPr>
          <w:sz w:val="24"/>
        </w:rPr>
        <w:t>票，弃权票</w:t>
      </w:r>
      <w:r>
        <w:rPr>
          <w:sz w:val="24"/>
        </w:rPr>
        <w:t>0</w:t>
      </w:r>
      <w:r>
        <w:rPr>
          <w:sz w:val="24"/>
        </w:rPr>
        <w:t>票。</w:t>
      </w:r>
    </w:p>
    <w:p w:rsidR="005809D7" w:rsidRDefault="005809D7">
      <w:pPr>
        <w:spacing w:line="440" w:lineRule="exact"/>
        <w:ind w:firstLine="482"/>
        <w:jc w:val="both"/>
        <w:rPr>
          <w:sz w:val="24"/>
        </w:rPr>
      </w:pPr>
      <w:r>
        <w:rPr>
          <w:rFonts w:hint="eastAsia"/>
          <w:sz w:val="24"/>
        </w:rPr>
        <w:t>详情请参阅同日披露在巨潮资讯网（</w:t>
      </w:r>
      <w:r>
        <w:rPr>
          <w:rFonts w:hint="eastAsia"/>
          <w:sz w:val="24"/>
        </w:rPr>
        <w:t>www.cninfo.com.cn</w:t>
      </w:r>
      <w:r>
        <w:rPr>
          <w:rFonts w:hint="eastAsia"/>
          <w:sz w:val="24"/>
        </w:rPr>
        <w:t>）及香港联交所网站（</w:t>
      </w:r>
      <w:r>
        <w:rPr>
          <w:rFonts w:hint="eastAsia"/>
          <w:sz w:val="24"/>
        </w:rPr>
        <w:t>www.hkex.com.hk</w:t>
      </w:r>
      <w:r>
        <w:rPr>
          <w:rFonts w:hint="eastAsia"/>
          <w:sz w:val="24"/>
        </w:rPr>
        <w:t>）的相关公告。</w:t>
      </w:r>
    </w:p>
    <w:p w:rsidR="005809D7" w:rsidRPr="00517837" w:rsidRDefault="00750094">
      <w:pPr>
        <w:spacing w:line="440" w:lineRule="exact"/>
        <w:ind w:firstLine="482"/>
        <w:rPr>
          <w:b/>
          <w:sz w:val="24"/>
        </w:rPr>
      </w:pPr>
      <w:r w:rsidRPr="00517837">
        <w:rPr>
          <w:rFonts w:hint="eastAsia"/>
          <w:b/>
          <w:sz w:val="24"/>
        </w:rPr>
        <w:t>二</w:t>
      </w:r>
      <w:r w:rsidR="005809D7" w:rsidRPr="00517837">
        <w:rPr>
          <w:rFonts w:hint="eastAsia"/>
          <w:b/>
          <w:sz w:val="24"/>
        </w:rPr>
        <w:t>、</w:t>
      </w:r>
      <w:r w:rsidR="005809D7" w:rsidRPr="00517837">
        <w:rPr>
          <w:b/>
          <w:sz w:val="24"/>
        </w:rPr>
        <w:t>审议通过了</w:t>
      </w:r>
      <w:r w:rsidR="005809D7" w:rsidRPr="00517837">
        <w:rPr>
          <w:rFonts w:hint="eastAsia"/>
          <w:b/>
          <w:sz w:val="24"/>
        </w:rPr>
        <w:t>《关于修订</w:t>
      </w:r>
      <w:r w:rsidR="005809D7" w:rsidRPr="00517837">
        <w:rPr>
          <w:rFonts w:hint="eastAsia"/>
          <w:b/>
          <w:sz w:val="24"/>
        </w:rPr>
        <w:t>&lt;</w:t>
      </w:r>
      <w:r w:rsidR="005809D7" w:rsidRPr="00517837">
        <w:rPr>
          <w:rFonts w:hint="eastAsia"/>
          <w:b/>
          <w:sz w:val="24"/>
        </w:rPr>
        <w:t>公司章程</w:t>
      </w:r>
      <w:r w:rsidR="005809D7" w:rsidRPr="00517837">
        <w:rPr>
          <w:rFonts w:hint="eastAsia"/>
          <w:b/>
          <w:sz w:val="24"/>
        </w:rPr>
        <w:t>&gt;</w:t>
      </w:r>
      <w:r w:rsidR="005809D7" w:rsidRPr="00517837">
        <w:rPr>
          <w:rFonts w:hint="eastAsia"/>
          <w:b/>
          <w:sz w:val="24"/>
        </w:rPr>
        <w:t>的议案》</w:t>
      </w:r>
    </w:p>
    <w:p w:rsidR="005809D7" w:rsidRPr="00586F65" w:rsidRDefault="005809D7">
      <w:pPr>
        <w:spacing w:line="440" w:lineRule="exact"/>
        <w:ind w:firstLine="482"/>
        <w:rPr>
          <w:sz w:val="24"/>
        </w:rPr>
      </w:pPr>
      <w:r w:rsidRPr="00586F65">
        <w:rPr>
          <w:rFonts w:hint="eastAsia"/>
          <w:sz w:val="24"/>
        </w:rPr>
        <w:lastRenderedPageBreak/>
        <w:t>鉴于公司董事会对不符合解除限售条件的共计</w:t>
      </w:r>
      <w:r w:rsidR="001F6F8F" w:rsidRPr="00586F65">
        <w:rPr>
          <w:rFonts w:hint="eastAsia"/>
          <w:sz w:val="24"/>
        </w:rPr>
        <w:t>22,</w:t>
      </w:r>
      <w:r w:rsidR="00206CF7">
        <w:rPr>
          <w:rFonts w:hint="eastAsia"/>
          <w:sz w:val="24"/>
        </w:rPr>
        <w:t>257</w:t>
      </w:r>
      <w:r w:rsidR="001F6F8F" w:rsidRPr="00586F65">
        <w:rPr>
          <w:rFonts w:hint="eastAsia"/>
          <w:sz w:val="24"/>
        </w:rPr>
        <w:t>,000</w:t>
      </w:r>
      <w:r w:rsidRPr="00586F65">
        <w:rPr>
          <w:rFonts w:hint="eastAsia"/>
          <w:sz w:val="24"/>
        </w:rPr>
        <w:t>股</w:t>
      </w:r>
      <w:r w:rsidRPr="00586F65">
        <w:rPr>
          <w:rFonts w:hint="eastAsia"/>
          <w:sz w:val="24"/>
        </w:rPr>
        <w:t>A</w:t>
      </w:r>
      <w:r w:rsidRPr="00586F65">
        <w:rPr>
          <w:rFonts w:hint="eastAsia"/>
          <w:sz w:val="24"/>
        </w:rPr>
        <w:t>股限制性股票进行回购注销，根据公司</w:t>
      </w:r>
      <w:r w:rsidRPr="00586F65">
        <w:rPr>
          <w:rFonts w:hint="eastAsia"/>
          <w:sz w:val="24"/>
        </w:rPr>
        <w:t>2020</w:t>
      </w:r>
      <w:r w:rsidRPr="00586F65">
        <w:rPr>
          <w:rFonts w:hint="eastAsia"/>
          <w:sz w:val="24"/>
        </w:rPr>
        <w:t>年第二次临时股东大会、</w:t>
      </w:r>
      <w:r w:rsidRPr="00586F65">
        <w:rPr>
          <w:rFonts w:hint="eastAsia"/>
          <w:sz w:val="24"/>
        </w:rPr>
        <w:t>2020</w:t>
      </w:r>
      <w:r w:rsidRPr="00586F65">
        <w:rPr>
          <w:rFonts w:hint="eastAsia"/>
          <w:sz w:val="24"/>
        </w:rPr>
        <w:t>年第一次境内上市股份类别股东大会及</w:t>
      </w:r>
      <w:r w:rsidRPr="00586F65">
        <w:rPr>
          <w:rFonts w:hint="eastAsia"/>
          <w:sz w:val="24"/>
        </w:rPr>
        <w:t>2020</w:t>
      </w:r>
      <w:r w:rsidRPr="00586F65">
        <w:rPr>
          <w:rFonts w:hint="eastAsia"/>
          <w:sz w:val="24"/>
        </w:rPr>
        <w:t>年第一次境外上市股份类别股东</w:t>
      </w:r>
      <w:r w:rsidR="008B792A" w:rsidRPr="00586F65">
        <w:rPr>
          <w:rFonts w:hint="eastAsia"/>
          <w:sz w:val="24"/>
        </w:rPr>
        <w:t>大会的授权，</w:t>
      </w:r>
      <w:r w:rsidRPr="00586F65">
        <w:rPr>
          <w:rFonts w:hint="eastAsia"/>
          <w:sz w:val="24"/>
        </w:rPr>
        <w:t>对《公司章程》进行修订，具体修订内容详见附件一《公司章程》修订对照表，</w:t>
      </w:r>
      <w:r w:rsidR="00586F65">
        <w:rPr>
          <w:rFonts w:hint="eastAsia"/>
          <w:sz w:val="24"/>
        </w:rPr>
        <w:t>修订后的</w:t>
      </w:r>
      <w:r w:rsidRPr="00586F65">
        <w:rPr>
          <w:rFonts w:hint="eastAsia"/>
          <w:sz w:val="24"/>
        </w:rPr>
        <w:t>《公司章程》</w:t>
      </w:r>
      <w:r w:rsidR="002B2D6D">
        <w:rPr>
          <w:rFonts w:hint="eastAsia"/>
          <w:sz w:val="24"/>
        </w:rPr>
        <w:t>将</w:t>
      </w:r>
      <w:r w:rsidR="00586F65">
        <w:rPr>
          <w:rFonts w:hint="eastAsia"/>
          <w:sz w:val="24"/>
        </w:rPr>
        <w:t>于</w:t>
      </w:r>
      <w:r w:rsidR="002B2D6D">
        <w:rPr>
          <w:rFonts w:hint="eastAsia"/>
          <w:sz w:val="24"/>
        </w:rPr>
        <w:t>公司在</w:t>
      </w:r>
      <w:r w:rsidR="00586F65" w:rsidRPr="00586F65">
        <w:rPr>
          <w:rFonts w:hint="eastAsia"/>
          <w:sz w:val="24"/>
        </w:rPr>
        <w:t>中国证券登记结算有限责任公司深圳分公司</w:t>
      </w:r>
      <w:r w:rsidR="002B2D6D">
        <w:rPr>
          <w:rFonts w:hint="eastAsia"/>
          <w:sz w:val="24"/>
        </w:rPr>
        <w:t>办理</w:t>
      </w:r>
      <w:r w:rsidR="00586F65" w:rsidRPr="00586F65">
        <w:rPr>
          <w:rFonts w:hint="eastAsia"/>
          <w:sz w:val="24"/>
        </w:rPr>
        <w:t>完成</w:t>
      </w:r>
      <w:r w:rsidR="00206CF7">
        <w:rPr>
          <w:rFonts w:hint="eastAsia"/>
          <w:sz w:val="24"/>
        </w:rPr>
        <w:t>22,257</w:t>
      </w:r>
      <w:r w:rsidR="002B2D6D" w:rsidRPr="002B2D6D">
        <w:rPr>
          <w:rFonts w:hint="eastAsia"/>
          <w:sz w:val="24"/>
        </w:rPr>
        <w:t>,000</w:t>
      </w:r>
      <w:r w:rsidR="002B2D6D" w:rsidRPr="002B2D6D">
        <w:rPr>
          <w:rFonts w:hint="eastAsia"/>
          <w:sz w:val="24"/>
        </w:rPr>
        <w:t>股</w:t>
      </w:r>
      <w:r w:rsidR="002B2D6D" w:rsidRPr="002B2D6D">
        <w:rPr>
          <w:rFonts w:hint="eastAsia"/>
          <w:sz w:val="24"/>
        </w:rPr>
        <w:t>A</w:t>
      </w:r>
      <w:r w:rsidR="002B2D6D" w:rsidRPr="002B2D6D">
        <w:rPr>
          <w:rFonts w:hint="eastAsia"/>
          <w:sz w:val="24"/>
        </w:rPr>
        <w:t>股限制性股票</w:t>
      </w:r>
      <w:r w:rsidR="002B2D6D">
        <w:rPr>
          <w:rFonts w:hint="eastAsia"/>
          <w:sz w:val="24"/>
        </w:rPr>
        <w:t>的</w:t>
      </w:r>
      <w:r w:rsidR="00586F65" w:rsidRPr="00586F65">
        <w:rPr>
          <w:rFonts w:hint="eastAsia"/>
          <w:sz w:val="24"/>
        </w:rPr>
        <w:t>回购注销手续</w:t>
      </w:r>
      <w:r w:rsidR="00586F65">
        <w:rPr>
          <w:rFonts w:hint="eastAsia"/>
          <w:sz w:val="24"/>
        </w:rPr>
        <w:t>后生效，</w:t>
      </w:r>
      <w:r w:rsidR="00586F65" w:rsidRPr="00586F65">
        <w:rPr>
          <w:rFonts w:hint="eastAsia"/>
          <w:sz w:val="24"/>
        </w:rPr>
        <w:t>《公司章程》</w:t>
      </w:r>
      <w:r w:rsidRPr="00586F65">
        <w:rPr>
          <w:rFonts w:hint="eastAsia"/>
          <w:sz w:val="24"/>
        </w:rPr>
        <w:t>全文已于同日披露在巨潮资讯网（</w:t>
      </w:r>
      <w:r w:rsidRPr="00586F65">
        <w:rPr>
          <w:rFonts w:hint="eastAsia"/>
          <w:sz w:val="24"/>
        </w:rPr>
        <w:t>www.cninfo.com.cn</w:t>
      </w:r>
      <w:r w:rsidRPr="00586F65">
        <w:rPr>
          <w:rFonts w:hint="eastAsia"/>
          <w:sz w:val="24"/>
        </w:rPr>
        <w:t>）及香港联交所网站（</w:t>
      </w:r>
      <w:r w:rsidRPr="00586F65">
        <w:rPr>
          <w:rFonts w:hint="eastAsia"/>
          <w:sz w:val="24"/>
        </w:rPr>
        <w:t>www.hkex.com.hk</w:t>
      </w:r>
      <w:r w:rsidRPr="00586F65">
        <w:rPr>
          <w:rFonts w:hint="eastAsia"/>
          <w:sz w:val="24"/>
        </w:rPr>
        <w:t>）。</w:t>
      </w:r>
    </w:p>
    <w:p w:rsidR="005809D7" w:rsidRDefault="005809D7">
      <w:pPr>
        <w:spacing w:line="440" w:lineRule="exact"/>
        <w:ind w:firstLine="482"/>
        <w:rPr>
          <w:sz w:val="24"/>
        </w:rPr>
      </w:pPr>
      <w:r w:rsidRPr="00586F65">
        <w:rPr>
          <w:sz w:val="24"/>
        </w:rPr>
        <w:t>本议案表决结果：同意票</w:t>
      </w:r>
      <w:r w:rsidRPr="00586F65">
        <w:rPr>
          <w:rFonts w:hint="eastAsia"/>
          <w:sz w:val="24"/>
        </w:rPr>
        <w:t>11</w:t>
      </w:r>
      <w:r w:rsidRPr="00586F65">
        <w:rPr>
          <w:sz w:val="24"/>
        </w:rPr>
        <w:t>票，反对票</w:t>
      </w:r>
      <w:r w:rsidRPr="00586F65">
        <w:rPr>
          <w:sz w:val="24"/>
        </w:rPr>
        <w:t>0</w:t>
      </w:r>
      <w:r w:rsidRPr="00586F65">
        <w:rPr>
          <w:sz w:val="24"/>
        </w:rPr>
        <w:t>票，弃权票</w:t>
      </w:r>
      <w:r w:rsidRPr="00586F65">
        <w:rPr>
          <w:sz w:val="24"/>
        </w:rPr>
        <w:t>0</w:t>
      </w:r>
      <w:r w:rsidRPr="00586F65">
        <w:rPr>
          <w:sz w:val="24"/>
        </w:rPr>
        <w:t>票。</w:t>
      </w:r>
    </w:p>
    <w:p w:rsidR="005809D7" w:rsidRDefault="005809D7">
      <w:pPr>
        <w:spacing w:line="480" w:lineRule="exact"/>
        <w:ind w:firstLineChars="200" w:firstLine="480"/>
      </w:pPr>
      <w:r>
        <w:rPr>
          <w:kern w:val="2"/>
          <w:sz w:val="24"/>
          <w:szCs w:val="24"/>
        </w:rPr>
        <w:t>特此</w:t>
      </w:r>
      <w:r>
        <w:rPr>
          <w:rFonts w:hint="eastAsia"/>
          <w:kern w:val="2"/>
          <w:sz w:val="24"/>
          <w:szCs w:val="24"/>
        </w:rPr>
        <w:t>公告</w:t>
      </w:r>
      <w:r>
        <w:rPr>
          <w:kern w:val="2"/>
          <w:sz w:val="24"/>
          <w:szCs w:val="24"/>
        </w:rPr>
        <w:t>。</w:t>
      </w:r>
      <w:r>
        <w:rPr>
          <w:kern w:val="2"/>
          <w:sz w:val="24"/>
          <w:szCs w:val="24"/>
        </w:rPr>
        <w:t xml:space="preserve">   </w:t>
      </w:r>
      <w:r>
        <w:t xml:space="preserve">    </w:t>
      </w:r>
    </w:p>
    <w:p w:rsidR="005809D7" w:rsidRDefault="005809D7">
      <w:pPr>
        <w:spacing w:line="480" w:lineRule="exact"/>
        <w:ind w:firstLineChars="200" w:firstLine="400"/>
      </w:pPr>
    </w:p>
    <w:p w:rsidR="005809D7" w:rsidRDefault="005809D7">
      <w:pPr>
        <w:pStyle w:val="a6"/>
        <w:spacing w:line="480" w:lineRule="exact"/>
        <w:jc w:val="righ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宋体"/>
          <w:kern w:val="0"/>
          <w:sz w:val="24"/>
          <w:szCs w:val="24"/>
        </w:rPr>
        <w:t>山东晨鸣纸业集团股份有限公司董事会</w:t>
      </w:r>
    </w:p>
    <w:p w:rsidR="005809D7" w:rsidRDefault="005809D7">
      <w:pPr>
        <w:spacing w:line="480" w:lineRule="exact"/>
        <w:ind w:right="-90"/>
        <w:rPr>
          <w:b/>
          <w:sz w:val="21"/>
          <w:szCs w:val="21"/>
        </w:rPr>
      </w:pPr>
      <w:r>
        <w:rPr>
          <w:sz w:val="24"/>
          <w:szCs w:val="24"/>
        </w:rPr>
        <w:t xml:space="preserve">                                             </w:t>
      </w:r>
      <w:r>
        <w:rPr>
          <w:rFonts w:hint="eastAsia"/>
          <w:sz w:val="24"/>
          <w:szCs w:val="24"/>
        </w:rPr>
        <w:t xml:space="preserve">     </w:t>
      </w:r>
      <w:r>
        <w:rPr>
          <w:rFonts w:hAnsi="宋体"/>
          <w:sz w:val="24"/>
          <w:szCs w:val="24"/>
        </w:rPr>
        <w:t>二</w:t>
      </w:r>
      <w:r>
        <w:rPr>
          <w:rFonts w:hint="eastAsia"/>
          <w:sz w:val="24"/>
          <w:szCs w:val="24"/>
        </w:rPr>
        <w:t>〇</w:t>
      </w:r>
      <w:r>
        <w:rPr>
          <w:rFonts w:hAnsi="宋体"/>
          <w:sz w:val="24"/>
          <w:szCs w:val="24"/>
        </w:rPr>
        <w:t>二</w:t>
      </w:r>
      <w:r w:rsidR="00206CF7">
        <w:rPr>
          <w:rFonts w:hint="eastAsia"/>
          <w:sz w:val="24"/>
          <w:szCs w:val="24"/>
        </w:rPr>
        <w:t>四</w:t>
      </w:r>
      <w:r>
        <w:rPr>
          <w:sz w:val="24"/>
          <w:szCs w:val="24"/>
        </w:rPr>
        <w:t>年</w:t>
      </w:r>
      <w:r>
        <w:rPr>
          <w:rFonts w:hint="eastAsia"/>
          <w:sz w:val="24"/>
          <w:szCs w:val="24"/>
        </w:rPr>
        <w:t>七</w:t>
      </w:r>
      <w:r>
        <w:rPr>
          <w:sz w:val="24"/>
          <w:szCs w:val="24"/>
        </w:rPr>
        <w:t>月</w:t>
      </w:r>
      <w:r w:rsidR="00CB0935">
        <w:rPr>
          <w:rFonts w:hint="eastAsia"/>
          <w:sz w:val="24"/>
          <w:szCs w:val="24"/>
        </w:rPr>
        <w:t>三十一</w:t>
      </w:r>
      <w:r>
        <w:rPr>
          <w:sz w:val="24"/>
          <w:szCs w:val="24"/>
        </w:rPr>
        <w:t>日</w:t>
      </w:r>
      <w:r>
        <w:rPr>
          <w:sz w:val="24"/>
          <w:szCs w:val="24"/>
        </w:rPr>
        <w:br w:type="page"/>
      </w:r>
      <w:r>
        <w:rPr>
          <w:rFonts w:hint="eastAsia"/>
          <w:b/>
          <w:sz w:val="21"/>
          <w:szCs w:val="21"/>
        </w:rPr>
        <w:lastRenderedPageBreak/>
        <w:t>附件一：《公司章程》修订对照表</w:t>
      </w:r>
    </w:p>
    <w:tbl>
      <w:tblPr>
        <w:tblW w:w="54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36"/>
        <w:gridCol w:w="5002"/>
      </w:tblGrid>
      <w:tr w:rsidR="00496401" w:rsidRPr="00A35931" w:rsidTr="00143349">
        <w:trPr>
          <w:jc w:val="center"/>
        </w:trPr>
        <w:tc>
          <w:tcPr>
            <w:tcW w:w="2533" w:type="pct"/>
            <w:shd w:val="clear" w:color="auto" w:fill="D9D9D9"/>
          </w:tcPr>
          <w:p w:rsidR="00496401" w:rsidRPr="00A35931" w:rsidRDefault="00496401" w:rsidP="00143349">
            <w:pPr>
              <w:snapToGrid w:val="0"/>
              <w:ind w:firstLineChars="200" w:firstLine="482"/>
              <w:jc w:val="center"/>
              <w:rPr>
                <w:rFonts w:eastAsia="楷体"/>
                <w:b/>
                <w:sz w:val="24"/>
              </w:rPr>
            </w:pPr>
            <w:r w:rsidRPr="00A35931">
              <w:rPr>
                <w:rFonts w:eastAsia="楷体"/>
                <w:b/>
                <w:sz w:val="24"/>
              </w:rPr>
              <w:t>修订前</w:t>
            </w:r>
          </w:p>
        </w:tc>
        <w:tc>
          <w:tcPr>
            <w:tcW w:w="2467" w:type="pct"/>
            <w:shd w:val="clear" w:color="auto" w:fill="D9D9D9"/>
          </w:tcPr>
          <w:p w:rsidR="00496401" w:rsidRPr="00A35931" w:rsidRDefault="00496401" w:rsidP="00143349">
            <w:pPr>
              <w:snapToGrid w:val="0"/>
              <w:ind w:firstLineChars="200" w:firstLine="482"/>
              <w:jc w:val="center"/>
              <w:rPr>
                <w:rFonts w:eastAsia="楷体"/>
                <w:b/>
                <w:sz w:val="24"/>
              </w:rPr>
            </w:pPr>
            <w:r w:rsidRPr="00A35931">
              <w:rPr>
                <w:rFonts w:eastAsia="楷体"/>
                <w:b/>
                <w:sz w:val="24"/>
              </w:rPr>
              <w:t>修订后</w:t>
            </w:r>
          </w:p>
        </w:tc>
      </w:tr>
      <w:tr w:rsidR="00496401" w:rsidRPr="00A35931" w:rsidTr="00143349">
        <w:trPr>
          <w:jc w:val="center"/>
        </w:trPr>
        <w:tc>
          <w:tcPr>
            <w:tcW w:w="2533" w:type="pct"/>
          </w:tcPr>
          <w:p w:rsidR="00496401" w:rsidRPr="00A35931" w:rsidRDefault="00496401" w:rsidP="00143349">
            <w:pPr>
              <w:snapToGrid w:val="0"/>
              <w:ind w:firstLineChars="200" w:firstLine="482"/>
              <w:rPr>
                <w:rFonts w:eastAsia="楷体"/>
                <w:b/>
                <w:sz w:val="24"/>
              </w:rPr>
            </w:pPr>
            <w:r w:rsidRPr="00A35931">
              <w:rPr>
                <w:rFonts w:eastAsia="楷体"/>
                <w:b/>
                <w:sz w:val="24"/>
              </w:rPr>
              <w:t>第二十七条</w:t>
            </w:r>
          </w:p>
          <w:p w:rsidR="00496401" w:rsidRPr="00A35931" w:rsidRDefault="00496401" w:rsidP="00143349">
            <w:pPr>
              <w:snapToGrid w:val="0"/>
              <w:ind w:firstLineChars="200" w:firstLine="480"/>
              <w:rPr>
                <w:rFonts w:eastAsia="楷体_GB2312"/>
                <w:sz w:val="24"/>
              </w:rPr>
            </w:pPr>
            <w:r w:rsidRPr="00C02BE1">
              <w:rPr>
                <w:rFonts w:eastAsia="楷体" w:hint="eastAsia"/>
                <w:sz w:val="24"/>
              </w:rPr>
              <w:t>经国务院授权的公司审批部门批准，公司已发行的普通股总数</w:t>
            </w:r>
            <w:r w:rsidRPr="006D42FB">
              <w:rPr>
                <w:rFonts w:eastAsia="楷体"/>
                <w:b/>
                <w:sz w:val="24"/>
              </w:rPr>
              <w:t>2,956,813,200</w:t>
            </w:r>
            <w:r w:rsidRPr="006D42FB">
              <w:rPr>
                <w:rFonts w:eastAsia="楷体" w:hint="eastAsia"/>
                <w:sz w:val="24"/>
              </w:rPr>
              <w:t>股</w:t>
            </w:r>
            <w:r w:rsidRPr="00C02BE1">
              <w:rPr>
                <w:rFonts w:eastAsia="楷体" w:hint="eastAsia"/>
                <w:sz w:val="24"/>
              </w:rPr>
              <w:t>，首次批准发行的普通股总数为</w:t>
            </w:r>
            <w:r w:rsidRPr="00C02BE1">
              <w:rPr>
                <w:rFonts w:eastAsia="楷体"/>
                <w:sz w:val="24"/>
              </w:rPr>
              <w:t>66,647,400</w:t>
            </w:r>
            <w:r w:rsidRPr="00C02BE1">
              <w:rPr>
                <w:rFonts w:eastAsia="楷体" w:hint="eastAsia"/>
                <w:sz w:val="24"/>
              </w:rPr>
              <w:t>股，成立时向发起人发行</w:t>
            </w:r>
            <w:r w:rsidRPr="00C02BE1">
              <w:rPr>
                <w:rFonts w:eastAsia="楷体"/>
                <w:sz w:val="24"/>
              </w:rPr>
              <w:t>46,497,400</w:t>
            </w:r>
            <w:r w:rsidRPr="00C02BE1">
              <w:rPr>
                <w:rFonts w:eastAsia="楷体" w:hint="eastAsia"/>
                <w:sz w:val="24"/>
              </w:rPr>
              <w:t>股，占公司首次发行普通股份总额的</w:t>
            </w:r>
            <w:r w:rsidRPr="00C02BE1">
              <w:rPr>
                <w:rFonts w:eastAsia="楷体"/>
                <w:sz w:val="24"/>
              </w:rPr>
              <w:t>69.77%</w:t>
            </w:r>
            <w:r w:rsidRPr="00C02BE1">
              <w:rPr>
                <w:rFonts w:eastAsia="楷体" w:hint="eastAsia"/>
                <w:sz w:val="24"/>
              </w:rPr>
              <w:t>，占公司已发行普通股总数的</w:t>
            </w:r>
            <w:r w:rsidRPr="006D42FB">
              <w:rPr>
                <w:rFonts w:eastAsia="楷体"/>
                <w:b/>
                <w:sz w:val="24"/>
              </w:rPr>
              <w:t>1.57%</w:t>
            </w:r>
            <w:r w:rsidRPr="00A35931">
              <w:rPr>
                <w:rFonts w:eastAsia="楷体"/>
                <w:sz w:val="24"/>
              </w:rPr>
              <w:t>。</w:t>
            </w:r>
          </w:p>
        </w:tc>
        <w:tc>
          <w:tcPr>
            <w:tcW w:w="2467" w:type="pct"/>
          </w:tcPr>
          <w:p w:rsidR="00496401" w:rsidRPr="00A35931" w:rsidRDefault="00496401" w:rsidP="00143349">
            <w:pPr>
              <w:snapToGrid w:val="0"/>
              <w:ind w:firstLineChars="200" w:firstLine="482"/>
              <w:rPr>
                <w:rFonts w:eastAsia="楷体"/>
                <w:b/>
                <w:sz w:val="24"/>
              </w:rPr>
            </w:pPr>
            <w:r w:rsidRPr="00A35931">
              <w:rPr>
                <w:rFonts w:eastAsia="楷体"/>
                <w:b/>
                <w:sz w:val="24"/>
              </w:rPr>
              <w:t>第二十七条</w:t>
            </w:r>
          </w:p>
          <w:p w:rsidR="00496401" w:rsidRPr="00A35931" w:rsidRDefault="00496401" w:rsidP="00143349">
            <w:pPr>
              <w:snapToGrid w:val="0"/>
              <w:ind w:firstLineChars="200" w:firstLine="480"/>
              <w:rPr>
                <w:rFonts w:eastAsia="楷体"/>
                <w:b/>
                <w:sz w:val="24"/>
              </w:rPr>
            </w:pPr>
            <w:r w:rsidRPr="00C02BE1">
              <w:rPr>
                <w:rFonts w:eastAsia="楷体" w:hint="eastAsia"/>
                <w:sz w:val="24"/>
              </w:rPr>
              <w:t>经国务院授权的公司审批部门批准，公司已发行的普通股总数</w:t>
            </w:r>
            <w:r w:rsidRPr="00A529AF">
              <w:rPr>
                <w:rFonts w:eastAsia="楷体" w:hint="eastAsia"/>
                <w:b/>
                <w:sz w:val="24"/>
              </w:rPr>
              <w:t>2,934,556,200</w:t>
            </w:r>
            <w:r w:rsidRPr="00C02BE1">
              <w:rPr>
                <w:rFonts w:eastAsia="楷体" w:hint="eastAsia"/>
                <w:sz w:val="24"/>
              </w:rPr>
              <w:t>股，首次批准发行的普通股总数为</w:t>
            </w:r>
            <w:r w:rsidRPr="00C02BE1">
              <w:rPr>
                <w:rFonts w:eastAsia="楷体"/>
                <w:sz w:val="24"/>
              </w:rPr>
              <w:t>66,647,400</w:t>
            </w:r>
            <w:r w:rsidRPr="00C02BE1">
              <w:rPr>
                <w:rFonts w:eastAsia="楷体" w:hint="eastAsia"/>
                <w:sz w:val="24"/>
              </w:rPr>
              <w:t>股，成立时向发起人发行</w:t>
            </w:r>
            <w:r w:rsidRPr="00C02BE1">
              <w:rPr>
                <w:rFonts w:eastAsia="楷体"/>
                <w:sz w:val="24"/>
              </w:rPr>
              <w:t>46,497,400</w:t>
            </w:r>
            <w:r w:rsidRPr="00C02BE1">
              <w:rPr>
                <w:rFonts w:eastAsia="楷体" w:hint="eastAsia"/>
                <w:sz w:val="24"/>
              </w:rPr>
              <w:t>股，占公司首次发行普通股份总额的</w:t>
            </w:r>
            <w:r w:rsidRPr="00C02BE1">
              <w:rPr>
                <w:rFonts w:eastAsia="楷体"/>
                <w:sz w:val="24"/>
              </w:rPr>
              <w:t>69.77%</w:t>
            </w:r>
            <w:r w:rsidRPr="00C02BE1">
              <w:rPr>
                <w:rFonts w:eastAsia="楷体" w:hint="eastAsia"/>
                <w:sz w:val="24"/>
              </w:rPr>
              <w:t>，占公司已发行普通股总数的</w:t>
            </w:r>
            <w:r w:rsidRPr="00A529AF">
              <w:rPr>
                <w:rFonts w:eastAsia="楷体" w:hint="eastAsia"/>
                <w:b/>
                <w:sz w:val="24"/>
              </w:rPr>
              <w:t>1.58</w:t>
            </w:r>
            <w:r w:rsidRPr="00A529AF">
              <w:rPr>
                <w:rFonts w:eastAsia="楷体"/>
                <w:b/>
                <w:sz w:val="24"/>
              </w:rPr>
              <w:t>%</w:t>
            </w:r>
            <w:r w:rsidRPr="00A35931">
              <w:rPr>
                <w:rFonts w:eastAsia="楷体"/>
                <w:sz w:val="24"/>
              </w:rPr>
              <w:t>。</w:t>
            </w:r>
          </w:p>
        </w:tc>
      </w:tr>
      <w:tr w:rsidR="00496401" w:rsidRPr="00A35931" w:rsidTr="00143349">
        <w:trPr>
          <w:jc w:val="center"/>
        </w:trPr>
        <w:tc>
          <w:tcPr>
            <w:tcW w:w="2533" w:type="pct"/>
          </w:tcPr>
          <w:p w:rsidR="00496401" w:rsidRPr="00A35931" w:rsidRDefault="00496401" w:rsidP="00143349">
            <w:pPr>
              <w:snapToGrid w:val="0"/>
              <w:ind w:firstLineChars="200" w:firstLine="482"/>
              <w:rPr>
                <w:rFonts w:eastAsia="楷体"/>
                <w:b/>
                <w:sz w:val="24"/>
              </w:rPr>
            </w:pPr>
            <w:r w:rsidRPr="00A35931">
              <w:rPr>
                <w:rFonts w:eastAsia="楷体"/>
                <w:b/>
                <w:sz w:val="24"/>
              </w:rPr>
              <w:t>第二十八条</w:t>
            </w:r>
          </w:p>
          <w:p w:rsidR="00496401" w:rsidRPr="00A35931" w:rsidRDefault="00496401" w:rsidP="00143349">
            <w:pPr>
              <w:pStyle w:val="a6"/>
              <w:snapToGrid w:val="0"/>
              <w:ind w:firstLineChars="200" w:firstLine="480"/>
              <w:rPr>
                <w:rFonts w:ascii="Times New Roman" w:eastAsia="楷体" w:hAnsi="Times New Roman"/>
                <w:kern w:val="0"/>
                <w:sz w:val="24"/>
              </w:rPr>
            </w:pPr>
            <w:r w:rsidRPr="00A35931">
              <w:rPr>
                <w:rFonts w:ascii="Times New Roman" w:eastAsia="楷体" w:hAnsi="Times New Roman"/>
                <w:kern w:val="0"/>
                <w:sz w:val="24"/>
              </w:rPr>
              <w:t>……</w:t>
            </w:r>
          </w:p>
          <w:p w:rsidR="00496401" w:rsidRPr="00037F59" w:rsidRDefault="00496401" w:rsidP="00143349">
            <w:pPr>
              <w:snapToGrid w:val="0"/>
              <w:ind w:firstLineChars="200" w:firstLine="480"/>
              <w:rPr>
                <w:rFonts w:eastAsia="楷体"/>
                <w:sz w:val="24"/>
              </w:rPr>
            </w:pPr>
            <w:r w:rsidRPr="00037F59">
              <w:rPr>
                <w:rFonts w:eastAsia="楷体"/>
                <w:sz w:val="24"/>
              </w:rPr>
              <w:t>除上述发行</w:t>
            </w:r>
            <w:r w:rsidRPr="00037F59">
              <w:rPr>
                <w:rFonts w:eastAsia="楷体"/>
                <w:sz w:val="24"/>
              </w:rPr>
              <w:t>A</w:t>
            </w:r>
            <w:r w:rsidRPr="00037F59">
              <w:rPr>
                <w:rFonts w:eastAsia="楷体"/>
                <w:sz w:val="24"/>
              </w:rPr>
              <w:t>股、</w:t>
            </w:r>
            <w:r w:rsidRPr="00037F59">
              <w:rPr>
                <w:rFonts w:eastAsia="楷体"/>
                <w:sz w:val="24"/>
              </w:rPr>
              <w:t>B</w:t>
            </w:r>
            <w:r w:rsidRPr="00037F59">
              <w:rPr>
                <w:rFonts w:eastAsia="楷体"/>
                <w:sz w:val="24"/>
              </w:rPr>
              <w:t>股、</w:t>
            </w:r>
            <w:r w:rsidRPr="00037F59">
              <w:rPr>
                <w:rFonts w:eastAsia="楷体"/>
                <w:sz w:val="24"/>
              </w:rPr>
              <w:t>H</w:t>
            </w:r>
            <w:r w:rsidRPr="00037F59">
              <w:rPr>
                <w:rFonts w:eastAsia="楷体"/>
                <w:sz w:val="24"/>
              </w:rPr>
              <w:t>股、优先股外，在公司进行一系列送股、转增、可转债转股、回购</w:t>
            </w:r>
            <w:r w:rsidRPr="00037F59">
              <w:rPr>
                <w:rFonts w:eastAsia="楷体"/>
                <w:sz w:val="24"/>
              </w:rPr>
              <w:t>B</w:t>
            </w:r>
            <w:r w:rsidRPr="00037F59">
              <w:rPr>
                <w:rFonts w:eastAsia="楷体"/>
                <w:sz w:val="24"/>
              </w:rPr>
              <w:t>股、回购</w:t>
            </w:r>
            <w:r w:rsidRPr="00037F59">
              <w:rPr>
                <w:rFonts w:eastAsia="楷体"/>
                <w:sz w:val="24"/>
              </w:rPr>
              <w:t>H</w:t>
            </w:r>
            <w:r w:rsidRPr="00037F59">
              <w:rPr>
                <w:rFonts w:eastAsia="楷体"/>
                <w:sz w:val="24"/>
              </w:rPr>
              <w:t>股、股权激励、优先股赎回、回购注销部分</w:t>
            </w:r>
            <w:proofErr w:type="gramStart"/>
            <w:r w:rsidRPr="00037F59">
              <w:rPr>
                <w:rFonts w:eastAsia="楷体"/>
                <w:sz w:val="24"/>
              </w:rPr>
              <w:t>已获授但尚未</w:t>
            </w:r>
            <w:proofErr w:type="gramEnd"/>
            <w:r w:rsidRPr="00037F59">
              <w:rPr>
                <w:rFonts w:eastAsia="楷体"/>
                <w:sz w:val="24"/>
              </w:rPr>
              <w:t>解除限售的限制性股票等事项后，现公司的股本结构为：</w:t>
            </w:r>
          </w:p>
          <w:p w:rsidR="00496401" w:rsidRPr="00037F59" w:rsidRDefault="00496401" w:rsidP="00143349">
            <w:pPr>
              <w:snapToGrid w:val="0"/>
              <w:ind w:firstLineChars="200" w:firstLine="480"/>
              <w:rPr>
                <w:rFonts w:eastAsia="楷体"/>
                <w:sz w:val="24"/>
              </w:rPr>
            </w:pPr>
            <w:r w:rsidRPr="00037F59">
              <w:rPr>
                <w:rFonts w:eastAsia="楷体"/>
                <w:sz w:val="24"/>
              </w:rPr>
              <w:t>普通股</w:t>
            </w:r>
            <w:r w:rsidRPr="00A529AF">
              <w:rPr>
                <w:rFonts w:eastAsia="楷体"/>
                <w:b/>
                <w:sz w:val="24"/>
              </w:rPr>
              <w:t>2,956,813,200</w:t>
            </w:r>
            <w:r w:rsidRPr="00037F59">
              <w:rPr>
                <w:rFonts w:eastAsia="楷体"/>
                <w:sz w:val="24"/>
              </w:rPr>
              <w:t>股，其中：</w:t>
            </w:r>
          </w:p>
          <w:p w:rsidR="00496401" w:rsidRPr="00037F59" w:rsidRDefault="00496401" w:rsidP="00143349">
            <w:pPr>
              <w:snapToGrid w:val="0"/>
              <w:ind w:firstLineChars="200" w:firstLine="480"/>
              <w:rPr>
                <w:rFonts w:eastAsia="楷体"/>
                <w:sz w:val="24"/>
              </w:rPr>
            </w:pPr>
            <w:r w:rsidRPr="00037F59">
              <w:rPr>
                <w:rFonts w:eastAsia="楷体"/>
                <w:sz w:val="24"/>
              </w:rPr>
              <w:t>境内上市内资股股东持有</w:t>
            </w:r>
            <w:r w:rsidRPr="00A529AF">
              <w:rPr>
                <w:rFonts w:eastAsia="楷体"/>
                <w:b/>
                <w:sz w:val="24"/>
              </w:rPr>
              <w:t>1,722,122,684</w:t>
            </w:r>
            <w:r w:rsidRPr="00037F59">
              <w:rPr>
                <w:rFonts w:eastAsia="楷体"/>
                <w:sz w:val="24"/>
              </w:rPr>
              <w:t>股</w:t>
            </w:r>
            <w:r w:rsidRPr="00037F59">
              <w:rPr>
                <w:rFonts w:eastAsia="楷体"/>
                <w:sz w:val="24"/>
              </w:rPr>
              <w:t>A</w:t>
            </w:r>
            <w:r w:rsidRPr="00037F59">
              <w:rPr>
                <w:rFonts w:eastAsia="楷体"/>
                <w:sz w:val="24"/>
              </w:rPr>
              <w:t>股，占股份总数的</w:t>
            </w:r>
            <w:r w:rsidRPr="00A529AF">
              <w:rPr>
                <w:rFonts w:eastAsia="楷体"/>
                <w:b/>
                <w:sz w:val="24"/>
              </w:rPr>
              <w:t>58.24%</w:t>
            </w:r>
            <w:r w:rsidRPr="00037F59">
              <w:rPr>
                <w:rFonts w:eastAsia="楷体"/>
                <w:sz w:val="24"/>
              </w:rPr>
              <w:t>，其中，晨鸣控股有限公司持有</w:t>
            </w:r>
            <w:r w:rsidRPr="00037F59">
              <w:rPr>
                <w:rFonts w:eastAsia="楷体"/>
                <w:sz w:val="24"/>
              </w:rPr>
              <w:t>457,322,919</w:t>
            </w:r>
            <w:r w:rsidRPr="00037F59">
              <w:rPr>
                <w:rFonts w:eastAsia="楷体"/>
                <w:sz w:val="24"/>
              </w:rPr>
              <w:t>股</w:t>
            </w:r>
            <w:r w:rsidRPr="00037F59">
              <w:rPr>
                <w:rFonts w:eastAsia="楷体"/>
                <w:sz w:val="24"/>
              </w:rPr>
              <w:t>A</w:t>
            </w:r>
            <w:r w:rsidRPr="00037F59">
              <w:rPr>
                <w:rFonts w:eastAsia="楷体"/>
                <w:sz w:val="24"/>
              </w:rPr>
              <w:t>股（国有法人股），占股份总数的</w:t>
            </w:r>
            <w:r w:rsidRPr="00A529AF">
              <w:rPr>
                <w:rFonts w:eastAsia="楷体"/>
                <w:b/>
                <w:sz w:val="24"/>
              </w:rPr>
              <w:t>15.47%</w:t>
            </w:r>
            <w:r w:rsidRPr="00037F59">
              <w:rPr>
                <w:rFonts w:eastAsia="楷体"/>
                <w:sz w:val="24"/>
              </w:rPr>
              <w:t>；其他内资股股东持有</w:t>
            </w:r>
            <w:r w:rsidRPr="00A529AF">
              <w:rPr>
                <w:rFonts w:eastAsia="楷体"/>
                <w:b/>
                <w:sz w:val="24"/>
              </w:rPr>
              <w:t>1,264,799,765</w:t>
            </w:r>
            <w:r w:rsidRPr="00037F59">
              <w:rPr>
                <w:rFonts w:eastAsia="楷体"/>
                <w:sz w:val="24"/>
              </w:rPr>
              <w:t>股</w:t>
            </w:r>
            <w:r w:rsidRPr="00037F59">
              <w:rPr>
                <w:rFonts w:eastAsia="楷体"/>
                <w:sz w:val="24"/>
              </w:rPr>
              <w:t>A</w:t>
            </w:r>
            <w:r w:rsidRPr="00037F59">
              <w:rPr>
                <w:rFonts w:eastAsia="楷体"/>
                <w:sz w:val="24"/>
              </w:rPr>
              <w:t>股，占股份总数的</w:t>
            </w:r>
            <w:r w:rsidRPr="00A529AF">
              <w:rPr>
                <w:rFonts w:eastAsia="楷体"/>
                <w:b/>
                <w:sz w:val="24"/>
              </w:rPr>
              <w:t>42.78%</w:t>
            </w:r>
            <w:r w:rsidRPr="00037F59">
              <w:rPr>
                <w:rFonts w:eastAsia="楷体"/>
                <w:sz w:val="24"/>
              </w:rPr>
              <w:t>；</w:t>
            </w:r>
          </w:p>
          <w:p w:rsidR="00496401" w:rsidRPr="00037F59" w:rsidRDefault="00496401" w:rsidP="00143349">
            <w:pPr>
              <w:snapToGrid w:val="0"/>
              <w:ind w:firstLineChars="200" w:firstLine="480"/>
              <w:rPr>
                <w:rFonts w:eastAsia="楷体"/>
                <w:sz w:val="24"/>
              </w:rPr>
            </w:pPr>
            <w:r w:rsidRPr="00037F59">
              <w:rPr>
                <w:rFonts w:eastAsia="楷体"/>
                <w:sz w:val="24"/>
              </w:rPr>
              <w:t>境内上市外资股股东持有</w:t>
            </w:r>
            <w:r w:rsidRPr="00037F59">
              <w:rPr>
                <w:rFonts w:eastAsia="楷体"/>
                <w:sz w:val="24"/>
              </w:rPr>
              <w:t>706,385,266</w:t>
            </w:r>
            <w:r w:rsidRPr="00037F59">
              <w:rPr>
                <w:rFonts w:eastAsia="楷体"/>
                <w:sz w:val="24"/>
              </w:rPr>
              <w:t>股</w:t>
            </w:r>
            <w:r w:rsidRPr="00037F59">
              <w:rPr>
                <w:rFonts w:eastAsia="楷体"/>
                <w:sz w:val="24"/>
              </w:rPr>
              <w:t>B</w:t>
            </w:r>
            <w:r w:rsidRPr="00037F59">
              <w:rPr>
                <w:rFonts w:eastAsia="楷体"/>
                <w:sz w:val="24"/>
              </w:rPr>
              <w:t>股，占股份总数的</w:t>
            </w:r>
            <w:r w:rsidRPr="00A529AF">
              <w:rPr>
                <w:rFonts w:eastAsia="楷体"/>
                <w:b/>
                <w:sz w:val="24"/>
              </w:rPr>
              <w:t>23.89%</w:t>
            </w:r>
            <w:r w:rsidRPr="00037F59">
              <w:rPr>
                <w:rFonts w:eastAsia="楷体"/>
                <w:sz w:val="24"/>
              </w:rPr>
              <w:t>；</w:t>
            </w:r>
          </w:p>
          <w:p w:rsidR="00496401" w:rsidRPr="00A35931" w:rsidRDefault="00496401" w:rsidP="00143349">
            <w:pPr>
              <w:snapToGrid w:val="0"/>
              <w:ind w:firstLineChars="200" w:firstLine="480"/>
              <w:rPr>
                <w:rFonts w:eastAsia="楷体"/>
                <w:b/>
                <w:sz w:val="24"/>
              </w:rPr>
            </w:pPr>
            <w:r w:rsidRPr="00037F59">
              <w:rPr>
                <w:rFonts w:eastAsia="楷体"/>
                <w:sz w:val="24"/>
              </w:rPr>
              <w:t>境外上市外资股股东持有</w:t>
            </w:r>
            <w:r w:rsidRPr="00037F59">
              <w:rPr>
                <w:rFonts w:eastAsia="楷体"/>
                <w:sz w:val="24"/>
              </w:rPr>
              <w:t>528,305,250</w:t>
            </w:r>
            <w:r w:rsidRPr="00037F59">
              <w:rPr>
                <w:rFonts w:eastAsia="楷体"/>
                <w:sz w:val="24"/>
              </w:rPr>
              <w:t>股</w:t>
            </w:r>
            <w:r w:rsidRPr="00037F59">
              <w:rPr>
                <w:rFonts w:eastAsia="楷体"/>
                <w:sz w:val="24"/>
              </w:rPr>
              <w:t>H</w:t>
            </w:r>
            <w:r w:rsidRPr="00037F59">
              <w:rPr>
                <w:rFonts w:eastAsia="楷体"/>
                <w:sz w:val="24"/>
              </w:rPr>
              <w:t>股，占股份总数的</w:t>
            </w:r>
            <w:r w:rsidRPr="00A529AF">
              <w:rPr>
                <w:rFonts w:eastAsia="楷体"/>
                <w:b/>
                <w:sz w:val="24"/>
              </w:rPr>
              <w:t>17.87%</w:t>
            </w:r>
            <w:r w:rsidRPr="00037F59">
              <w:rPr>
                <w:rFonts w:eastAsia="楷体"/>
                <w:sz w:val="24"/>
              </w:rPr>
              <w:t>。</w:t>
            </w:r>
          </w:p>
        </w:tc>
        <w:tc>
          <w:tcPr>
            <w:tcW w:w="2467" w:type="pct"/>
          </w:tcPr>
          <w:p w:rsidR="00496401" w:rsidRPr="00A35931" w:rsidRDefault="00496401" w:rsidP="00143349">
            <w:pPr>
              <w:snapToGrid w:val="0"/>
              <w:ind w:firstLineChars="200" w:firstLine="482"/>
              <w:rPr>
                <w:rFonts w:eastAsia="楷体"/>
                <w:b/>
                <w:sz w:val="24"/>
              </w:rPr>
            </w:pPr>
            <w:r w:rsidRPr="00A35931">
              <w:rPr>
                <w:rFonts w:eastAsia="楷体"/>
                <w:b/>
                <w:sz w:val="24"/>
              </w:rPr>
              <w:t>第二十八条</w:t>
            </w:r>
          </w:p>
          <w:p w:rsidR="00496401" w:rsidRPr="00A35931" w:rsidRDefault="00496401" w:rsidP="00143349">
            <w:pPr>
              <w:pStyle w:val="a6"/>
              <w:snapToGrid w:val="0"/>
              <w:ind w:firstLineChars="200" w:firstLine="480"/>
              <w:rPr>
                <w:rFonts w:ascii="Times New Roman" w:eastAsia="楷体" w:hAnsi="Times New Roman"/>
                <w:sz w:val="24"/>
              </w:rPr>
            </w:pPr>
            <w:r w:rsidRPr="00A35931">
              <w:rPr>
                <w:rFonts w:ascii="Times New Roman" w:eastAsia="楷体" w:hAnsi="Times New Roman"/>
                <w:sz w:val="24"/>
              </w:rPr>
              <w:t>……</w:t>
            </w:r>
          </w:p>
          <w:p w:rsidR="00496401" w:rsidRPr="00037F59" w:rsidRDefault="00496401" w:rsidP="00143349">
            <w:pPr>
              <w:snapToGrid w:val="0"/>
              <w:ind w:firstLineChars="200" w:firstLine="480"/>
              <w:rPr>
                <w:rFonts w:eastAsia="楷体"/>
                <w:sz w:val="24"/>
              </w:rPr>
            </w:pPr>
            <w:r w:rsidRPr="00037F59">
              <w:rPr>
                <w:rFonts w:eastAsia="楷体"/>
                <w:sz w:val="24"/>
              </w:rPr>
              <w:t>除上述发行</w:t>
            </w:r>
            <w:r w:rsidRPr="00037F59">
              <w:rPr>
                <w:rFonts w:eastAsia="楷体"/>
                <w:sz w:val="24"/>
              </w:rPr>
              <w:t>A</w:t>
            </w:r>
            <w:r w:rsidRPr="00037F59">
              <w:rPr>
                <w:rFonts w:eastAsia="楷体"/>
                <w:sz w:val="24"/>
              </w:rPr>
              <w:t>股、</w:t>
            </w:r>
            <w:r w:rsidRPr="00037F59">
              <w:rPr>
                <w:rFonts w:eastAsia="楷体"/>
                <w:sz w:val="24"/>
              </w:rPr>
              <w:t>B</w:t>
            </w:r>
            <w:r w:rsidRPr="00037F59">
              <w:rPr>
                <w:rFonts w:eastAsia="楷体"/>
                <w:sz w:val="24"/>
              </w:rPr>
              <w:t>股、</w:t>
            </w:r>
            <w:r w:rsidRPr="00037F59">
              <w:rPr>
                <w:rFonts w:eastAsia="楷体"/>
                <w:sz w:val="24"/>
              </w:rPr>
              <w:t>H</w:t>
            </w:r>
            <w:r w:rsidRPr="00037F59">
              <w:rPr>
                <w:rFonts w:eastAsia="楷体"/>
                <w:sz w:val="24"/>
              </w:rPr>
              <w:t>股、优先股外，在公司进行一系列送股、转增、可转债转股、回购</w:t>
            </w:r>
            <w:r w:rsidRPr="00037F59">
              <w:rPr>
                <w:rFonts w:eastAsia="楷体"/>
                <w:sz w:val="24"/>
              </w:rPr>
              <w:t>B</w:t>
            </w:r>
            <w:r w:rsidRPr="00037F59">
              <w:rPr>
                <w:rFonts w:eastAsia="楷体"/>
                <w:sz w:val="24"/>
              </w:rPr>
              <w:t>股、回购</w:t>
            </w:r>
            <w:r w:rsidRPr="00037F59">
              <w:rPr>
                <w:rFonts w:eastAsia="楷体"/>
                <w:sz w:val="24"/>
              </w:rPr>
              <w:t>H</w:t>
            </w:r>
            <w:r w:rsidRPr="00037F59">
              <w:rPr>
                <w:rFonts w:eastAsia="楷体"/>
                <w:sz w:val="24"/>
              </w:rPr>
              <w:t>股、股权激励、优先股赎回、回购注销部分</w:t>
            </w:r>
            <w:proofErr w:type="gramStart"/>
            <w:r w:rsidRPr="00037F59">
              <w:rPr>
                <w:rFonts w:eastAsia="楷体"/>
                <w:sz w:val="24"/>
              </w:rPr>
              <w:t>已获授但尚未</w:t>
            </w:r>
            <w:proofErr w:type="gramEnd"/>
            <w:r w:rsidRPr="00037F59">
              <w:rPr>
                <w:rFonts w:eastAsia="楷体"/>
                <w:sz w:val="24"/>
              </w:rPr>
              <w:t>解除限售的限制性股票等事项后，现公司的股本结构为：</w:t>
            </w:r>
          </w:p>
          <w:p w:rsidR="00496401" w:rsidRPr="00037F59" w:rsidRDefault="00496401" w:rsidP="00143349">
            <w:pPr>
              <w:snapToGrid w:val="0"/>
              <w:ind w:firstLineChars="200" w:firstLine="480"/>
              <w:rPr>
                <w:rFonts w:eastAsia="楷体"/>
                <w:sz w:val="24"/>
              </w:rPr>
            </w:pPr>
            <w:r w:rsidRPr="00037F59">
              <w:rPr>
                <w:rFonts w:eastAsia="楷体"/>
                <w:sz w:val="24"/>
              </w:rPr>
              <w:t>普通股</w:t>
            </w:r>
            <w:r w:rsidRPr="00A529AF">
              <w:rPr>
                <w:rFonts w:eastAsia="楷体"/>
                <w:b/>
                <w:sz w:val="24"/>
              </w:rPr>
              <w:t>2,934,556,200</w:t>
            </w:r>
            <w:r w:rsidRPr="00037F59">
              <w:rPr>
                <w:rFonts w:eastAsia="楷体"/>
                <w:sz w:val="24"/>
              </w:rPr>
              <w:t>股，其中：</w:t>
            </w:r>
          </w:p>
          <w:p w:rsidR="00496401" w:rsidRPr="00037F59" w:rsidRDefault="00496401" w:rsidP="00143349">
            <w:pPr>
              <w:snapToGrid w:val="0"/>
              <w:ind w:firstLineChars="200" w:firstLine="480"/>
              <w:rPr>
                <w:rFonts w:eastAsia="楷体"/>
                <w:sz w:val="24"/>
              </w:rPr>
            </w:pPr>
            <w:r w:rsidRPr="00037F59">
              <w:rPr>
                <w:rFonts w:eastAsia="楷体"/>
                <w:sz w:val="24"/>
              </w:rPr>
              <w:t>境内上市内资股股东持有</w:t>
            </w:r>
            <w:r w:rsidRPr="00A529AF">
              <w:rPr>
                <w:rFonts w:eastAsia="楷体"/>
                <w:b/>
                <w:sz w:val="24"/>
              </w:rPr>
              <w:t>1,699,865,684</w:t>
            </w:r>
            <w:r w:rsidRPr="00037F59">
              <w:rPr>
                <w:rFonts w:eastAsia="楷体"/>
                <w:sz w:val="24"/>
              </w:rPr>
              <w:t>股</w:t>
            </w:r>
            <w:r w:rsidRPr="00037F59">
              <w:rPr>
                <w:rFonts w:eastAsia="楷体"/>
                <w:sz w:val="24"/>
              </w:rPr>
              <w:t>A</w:t>
            </w:r>
            <w:r w:rsidRPr="00037F59">
              <w:rPr>
                <w:rFonts w:eastAsia="楷体"/>
                <w:sz w:val="24"/>
              </w:rPr>
              <w:t>股，占股份总数的</w:t>
            </w:r>
            <w:r w:rsidRPr="00A529AF">
              <w:rPr>
                <w:rFonts w:eastAsia="楷体"/>
                <w:b/>
                <w:sz w:val="24"/>
              </w:rPr>
              <w:t>57.93%</w:t>
            </w:r>
            <w:r w:rsidRPr="00037F59">
              <w:rPr>
                <w:rFonts w:eastAsia="楷体"/>
                <w:sz w:val="24"/>
              </w:rPr>
              <w:t>，其中，晨鸣控股有限公司持有</w:t>
            </w:r>
            <w:r w:rsidRPr="00037F59">
              <w:rPr>
                <w:rFonts w:eastAsia="楷体"/>
                <w:sz w:val="24"/>
              </w:rPr>
              <w:t>457,322,919</w:t>
            </w:r>
            <w:r w:rsidRPr="00037F59">
              <w:rPr>
                <w:rFonts w:eastAsia="楷体"/>
                <w:sz w:val="24"/>
              </w:rPr>
              <w:t>股</w:t>
            </w:r>
            <w:r w:rsidRPr="00037F59">
              <w:rPr>
                <w:rFonts w:eastAsia="楷体"/>
                <w:sz w:val="24"/>
              </w:rPr>
              <w:t>A</w:t>
            </w:r>
            <w:r w:rsidRPr="00037F59">
              <w:rPr>
                <w:rFonts w:eastAsia="楷体"/>
                <w:sz w:val="24"/>
              </w:rPr>
              <w:t>股（国有法人股），占股份总数的</w:t>
            </w:r>
            <w:r w:rsidRPr="00A529AF">
              <w:rPr>
                <w:rFonts w:eastAsia="楷体"/>
                <w:b/>
                <w:sz w:val="24"/>
              </w:rPr>
              <w:t>15.58%</w:t>
            </w:r>
            <w:r w:rsidRPr="00037F59">
              <w:rPr>
                <w:rFonts w:eastAsia="楷体"/>
                <w:sz w:val="24"/>
              </w:rPr>
              <w:t>；其他内资股股东持有</w:t>
            </w:r>
            <w:r w:rsidRPr="00A529AF">
              <w:rPr>
                <w:rFonts w:eastAsia="楷体"/>
                <w:b/>
                <w:sz w:val="24"/>
              </w:rPr>
              <w:t>1,</w:t>
            </w:r>
            <w:r>
              <w:rPr>
                <w:rFonts w:eastAsia="楷体" w:hint="eastAsia"/>
                <w:b/>
                <w:sz w:val="24"/>
              </w:rPr>
              <w:t>242</w:t>
            </w:r>
            <w:r w:rsidRPr="00A529AF">
              <w:rPr>
                <w:rFonts w:eastAsia="楷体"/>
                <w:b/>
                <w:sz w:val="24"/>
              </w:rPr>
              <w:t>,542,765</w:t>
            </w:r>
            <w:r w:rsidRPr="00037F59">
              <w:rPr>
                <w:rFonts w:eastAsia="楷体"/>
                <w:sz w:val="24"/>
              </w:rPr>
              <w:t>股</w:t>
            </w:r>
            <w:r w:rsidRPr="00037F59">
              <w:rPr>
                <w:rFonts w:eastAsia="楷体"/>
                <w:sz w:val="24"/>
              </w:rPr>
              <w:t>A</w:t>
            </w:r>
            <w:r w:rsidRPr="00037F59">
              <w:rPr>
                <w:rFonts w:eastAsia="楷体"/>
                <w:sz w:val="24"/>
              </w:rPr>
              <w:t>股，占股份总数的</w:t>
            </w:r>
            <w:r>
              <w:rPr>
                <w:rFonts w:eastAsia="楷体" w:hint="eastAsia"/>
                <w:b/>
                <w:sz w:val="24"/>
              </w:rPr>
              <w:t>42.34</w:t>
            </w:r>
            <w:r w:rsidRPr="00A529AF">
              <w:rPr>
                <w:rFonts w:eastAsia="楷体"/>
                <w:b/>
                <w:sz w:val="24"/>
              </w:rPr>
              <w:t>%</w:t>
            </w:r>
            <w:r w:rsidRPr="00037F59">
              <w:rPr>
                <w:rFonts w:eastAsia="楷体"/>
                <w:sz w:val="24"/>
              </w:rPr>
              <w:t>；</w:t>
            </w:r>
          </w:p>
          <w:p w:rsidR="00496401" w:rsidRPr="00037F59" w:rsidRDefault="00496401" w:rsidP="00143349">
            <w:pPr>
              <w:snapToGrid w:val="0"/>
              <w:ind w:firstLineChars="200" w:firstLine="480"/>
              <w:rPr>
                <w:rFonts w:eastAsia="楷体"/>
                <w:sz w:val="24"/>
              </w:rPr>
            </w:pPr>
            <w:r w:rsidRPr="00037F59">
              <w:rPr>
                <w:rFonts w:eastAsia="楷体"/>
                <w:sz w:val="24"/>
              </w:rPr>
              <w:t>境内上市外资股股东持有</w:t>
            </w:r>
            <w:r w:rsidRPr="00037F59">
              <w:rPr>
                <w:rFonts w:eastAsia="楷体"/>
                <w:sz w:val="24"/>
              </w:rPr>
              <w:t>706,385,266</w:t>
            </w:r>
            <w:r w:rsidRPr="00037F59">
              <w:rPr>
                <w:rFonts w:eastAsia="楷体"/>
                <w:sz w:val="24"/>
              </w:rPr>
              <w:t>股</w:t>
            </w:r>
            <w:r w:rsidRPr="00037F59">
              <w:rPr>
                <w:rFonts w:eastAsia="楷体"/>
                <w:sz w:val="24"/>
              </w:rPr>
              <w:t>B</w:t>
            </w:r>
            <w:r w:rsidRPr="00037F59">
              <w:rPr>
                <w:rFonts w:eastAsia="楷体"/>
                <w:sz w:val="24"/>
              </w:rPr>
              <w:t>股，占股份总数的</w:t>
            </w:r>
            <w:r w:rsidRPr="00A529AF">
              <w:rPr>
                <w:rFonts w:eastAsia="楷体"/>
                <w:b/>
                <w:sz w:val="24"/>
              </w:rPr>
              <w:t>24.07%</w:t>
            </w:r>
            <w:r w:rsidRPr="00037F59">
              <w:rPr>
                <w:rFonts w:eastAsia="楷体"/>
                <w:sz w:val="24"/>
              </w:rPr>
              <w:t>；</w:t>
            </w:r>
          </w:p>
          <w:p w:rsidR="00496401" w:rsidRPr="00A35931" w:rsidRDefault="00496401" w:rsidP="00143349">
            <w:pPr>
              <w:snapToGrid w:val="0"/>
              <w:ind w:firstLineChars="200" w:firstLine="480"/>
              <w:rPr>
                <w:rFonts w:eastAsia="楷体"/>
                <w:b/>
                <w:sz w:val="24"/>
              </w:rPr>
            </w:pPr>
            <w:r w:rsidRPr="00037F59">
              <w:rPr>
                <w:rFonts w:eastAsia="楷体"/>
                <w:sz w:val="24"/>
              </w:rPr>
              <w:t>境外上市外资股股东持有</w:t>
            </w:r>
            <w:r w:rsidRPr="00037F59">
              <w:rPr>
                <w:rFonts w:eastAsia="楷体"/>
                <w:sz w:val="24"/>
              </w:rPr>
              <w:t>528,305,250</w:t>
            </w:r>
            <w:r w:rsidRPr="00037F59">
              <w:rPr>
                <w:rFonts w:eastAsia="楷体"/>
                <w:sz w:val="24"/>
              </w:rPr>
              <w:t>股</w:t>
            </w:r>
            <w:r w:rsidRPr="00037F59">
              <w:rPr>
                <w:rFonts w:eastAsia="楷体"/>
                <w:sz w:val="24"/>
              </w:rPr>
              <w:t>H</w:t>
            </w:r>
            <w:r w:rsidRPr="00037F59">
              <w:rPr>
                <w:rFonts w:eastAsia="楷体"/>
                <w:sz w:val="24"/>
              </w:rPr>
              <w:t>股，占股份总数的</w:t>
            </w:r>
            <w:r w:rsidRPr="00A529AF">
              <w:rPr>
                <w:rFonts w:eastAsia="楷体"/>
                <w:b/>
                <w:sz w:val="24"/>
              </w:rPr>
              <w:t>18.00%</w:t>
            </w:r>
            <w:r w:rsidRPr="00037F59">
              <w:rPr>
                <w:rFonts w:eastAsia="楷体"/>
                <w:sz w:val="24"/>
              </w:rPr>
              <w:t>。</w:t>
            </w:r>
          </w:p>
        </w:tc>
      </w:tr>
      <w:tr w:rsidR="00496401" w:rsidRPr="00A35931" w:rsidTr="00143349">
        <w:trPr>
          <w:jc w:val="center"/>
        </w:trPr>
        <w:tc>
          <w:tcPr>
            <w:tcW w:w="2533" w:type="pct"/>
          </w:tcPr>
          <w:p w:rsidR="00496401" w:rsidRPr="00A35931" w:rsidRDefault="00496401" w:rsidP="00143349">
            <w:pPr>
              <w:snapToGrid w:val="0"/>
              <w:ind w:firstLineChars="200" w:firstLine="482"/>
              <w:rPr>
                <w:rFonts w:eastAsia="楷体"/>
                <w:b/>
                <w:sz w:val="24"/>
              </w:rPr>
            </w:pPr>
            <w:r w:rsidRPr="00A35931">
              <w:rPr>
                <w:rFonts w:eastAsia="楷体"/>
                <w:b/>
                <w:sz w:val="24"/>
              </w:rPr>
              <w:t>第三十一条</w:t>
            </w:r>
          </w:p>
          <w:p w:rsidR="00496401" w:rsidRPr="00A35931" w:rsidRDefault="00496401" w:rsidP="00143349">
            <w:pPr>
              <w:snapToGrid w:val="0"/>
              <w:ind w:firstLineChars="200" w:firstLine="480"/>
              <w:rPr>
                <w:rFonts w:eastAsia="楷体"/>
                <w:b/>
                <w:sz w:val="24"/>
              </w:rPr>
            </w:pPr>
            <w:r w:rsidRPr="00037F59">
              <w:rPr>
                <w:rFonts w:eastAsia="楷体_GB2312" w:hint="eastAsia"/>
                <w:sz w:val="24"/>
              </w:rPr>
              <w:t>公司的注册资本为人民币</w:t>
            </w:r>
            <w:r w:rsidRPr="00A529AF">
              <w:rPr>
                <w:rFonts w:eastAsia="楷体_GB2312"/>
                <w:b/>
                <w:sz w:val="24"/>
              </w:rPr>
              <w:t>2,956,813,200</w:t>
            </w:r>
            <w:r w:rsidRPr="00037F59">
              <w:rPr>
                <w:rFonts w:eastAsia="楷体_GB2312" w:hint="eastAsia"/>
                <w:sz w:val="24"/>
              </w:rPr>
              <w:t>元</w:t>
            </w:r>
            <w:r w:rsidRPr="00A35931">
              <w:rPr>
                <w:rFonts w:eastAsia="楷体_GB2312"/>
                <w:sz w:val="24"/>
              </w:rPr>
              <w:t>。</w:t>
            </w:r>
          </w:p>
        </w:tc>
        <w:tc>
          <w:tcPr>
            <w:tcW w:w="2467" w:type="pct"/>
          </w:tcPr>
          <w:p w:rsidR="00496401" w:rsidRPr="00A35931" w:rsidRDefault="00496401" w:rsidP="00143349">
            <w:pPr>
              <w:snapToGrid w:val="0"/>
              <w:ind w:firstLineChars="200" w:firstLine="482"/>
              <w:rPr>
                <w:rFonts w:eastAsia="楷体"/>
                <w:b/>
                <w:sz w:val="24"/>
              </w:rPr>
            </w:pPr>
            <w:r w:rsidRPr="00A35931">
              <w:rPr>
                <w:rFonts w:eastAsia="楷体"/>
                <w:b/>
                <w:sz w:val="24"/>
              </w:rPr>
              <w:t>第三十一条</w:t>
            </w:r>
          </w:p>
          <w:p w:rsidR="00496401" w:rsidRPr="00A35931" w:rsidRDefault="00496401" w:rsidP="00143349">
            <w:pPr>
              <w:snapToGrid w:val="0"/>
              <w:ind w:firstLineChars="200" w:firstLine="480"/>
              <w:rPr>
                <w:rFonts w:eastAsia="楷体"/>
                <w:b/>
                <w:sz w:val="24"/>
              </w:rPr>
            </w:pPr>
            <w:r w:rsidRPr="00C02BE1">
              <w:rPr>
                <w:rFonts w:eastAsia="楷体_GB2312" w:hint="eastAsia"/>
                <w:sz w:val="24"/>
              </w:rPr>
              <w:t>公司的注册资本为人民币</w:t>
            </w:r>
            <w:r w:rsidRPr="00A529AF">
              <w:rPr>
                <w:rFonts w:eastAsia="楷体_GB2312" w:hint="eastAsia"/>
                <w:b/>
                <w:sz w:val="24"/>
              </w:rPr>
              <w:t>2,934,556,200</w:t>
            </w:r>
            <w:r w:rsidRPr="00C02BE1">
              <w:rPr>
                <w:rFonts w:eastAsia="楷体_GB2312" w:hint="eastAsia"/>
                <w:sz w:val="24"/>
              </w:rPr>
              <w:t>元</w:t>
            </w:r>
            <w:r w:rsidRPr="00A35931">
              <w:rPr>
                <w:rFonts w:eastAsia="楷体_GB2312"/>
                <w:sz w:val="24"/>
              </w:rPr>
              <w:t>。</w:t>
            </w:r>
          </w:p>
        </w:tc>
      </w:tr>
    </w:tbl>
    <w:p w:rsidR="005809D7" w:rsidRPr="00496401" w:rsidRDefault="005809D7">
      <w:pPr>
        <w:spacing w:line="480" w:lineRule="exact"/>
        <w:ind w:right="-90"/>
        <w:rPr>
          <w:sz w:val="24"/>
          <w:szCs w:val="24"/>
        </w:rPr>
      </w:pPr>
    </w:p>
    <w:sectPr w:rsidR="005809D7" w:rsidRPr="00496401">
      <w:headerReference w:type="default" r:id="rId7"/>
      <w:footerReference w:type="default" r:id="rId8"/>
      <w:pgSz w:w="11906" w:h="16838"/>
      <w:pgMar w:top="1247" w:right="1418" w:bottom="907" w:left="1418" w:header="851" w:footer="833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D99" w:rsidRDefault="00733D99">
      <w:r>
        <w:separator/>
      </w:r>
    </w:p>
  </w:endnote>
  <w:endnote w:type="continuationSeparator" w:id="0">
    <w:p w:rsidR="00733D99" w:rsidRDefault="00733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9D7" w:rsidRDefault="005809D7">
    <w:pPr>
      <w:pStyle w:val="a9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D99" w:rsidRDefault="00733D99">
      <w:r>
        <w:separator/>
      </w:r>
    </w:p>
  </w:footnote>
  <w:footnote w:type="continuationSeparator" w:id="0">
    <w:p w:rsidR="00733D99" w:rsidRDefault="00733D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9D7" w:rsidRDefault="005809D7">
    <w:pPr>
      <w:pStyle w:val="aa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jMGRlZjUxYzk1MDA0ZTMwMTBlZmEyMTI1NDc1ZWMifQ=="/>
  </w:docVars>
  <w:rsids>
    <w:rsidRoot w:val="00CF3039"/>
    <w:rsid w:val="000013E2"/>
    <w:rsid w:val="00002DC2"/>
    <w:rsid w:val="000055D5"/>
    <w:rsid w:val="000139C1"/>
    <w:rsid w:val="0002099E"/>
    <w:rsid w:val="000214DF"/>
    <w:rsid w:val="00025177"/>
    <w:rsid w:val="00026C80"/>
    <w:rsid w:val="00027F0B"/>
    <w:rsid w:val="000331E0"/>
    <w:rsid w:val="00036B19"/>
    <w:rsid w:val="00041BE4"/>
    <w:rsid w:val="00043E84"/>
    <w:rsid w:val="00045949"/>
    <w:rsid w:val="000470C3"/>
    <w:rsid w:val="00053C14"/>
    <w:rsid w:val="00066AFE"/>
    <w:rsid w:val="00071C91"/>
    <w:rsid w:val="00072901"/>
    <w:rsid w:val="00072AA3"/>
    <w:rsid w:val="00075173"/>
    <w:rsid w:val="00077561"/>
    <w:rsid w:val="0007764E"/>
    <w:rsid w:val="000776DC"/>
    <w:rsid w:val="00077A2F"/>
    <w:rsid w:val="00084164"/>
    <w:rsid w:val="00085D48"/>
    <w:rsid w:val="00090697"/>
    <w:rsid w:val="000A2FD1"/>
    <w:rsid w:val="000A4BF1"/>
    <w:rsid w:val="000B1DD8"/>
    <w:rsid w:val="000B32BA"/>
    <w:rsid w:val="000C1694"/>
    <w:rsid w:val="000C4124"/>
    <w:rsid w:val="000C5547"/>
    <w:rsid w:val="000C57D8"/>
    <w:rsid w:val="000C72ED"/>
    <w:rsid w:val="000D3370"/>
    <w:rsid w:val="000D414E"/>
    <w:rsid w:val="000D49EE"/>
    <w:rsid w:val="000D7236"/>
    <w:rsid w:val="000E477F"/>
    <w:rsid w:val="000F0925"/>
    <w:rsid w:val="000F1E13"/>
    <w:rsid w:val="000F7072"/>
    <w:rsid w:val="000F73A9"/>
    <w:rsid w:val="00104547"/>
    <w:rsid w:val="0011304B"/>
    <w:rsid w:val="00121BA9"/>
    <w:rsid w:val="00122C92"/>
    <w:rsid w:val="00132B95"/>
    <w:rsid w:val="00133192"/>
    <w:rsid w:val="0013340C"/>
    <w:rsid w:val="001359A1"/>
    <w:rsid w:val="00143349"/>
    <w:rsid w:val="00147108"/>
    <w:rsid w:val="001507CA"/>
    <w:rsid w:val="001519DE"/>
    <w:rsid w:val="00152AB4"/>
    <w:rsid w:val="00154F47"/>
    <w:rsid w:val="00156EA2"/>
    <w:rsid w:val="00157A08"/>
    <w:rsid w:val="00157D76"/>
    <w:rsid w:val="00162969"/>
    <w:rsid w:val="001637CD"/>
    <w:rsid w:val="0016439D"/>
    <w:rsid w:val="0016617E"/>
    <w:rsid w:val="00172956"/>
    <w:rsid w:val="00173ED0"/>
    <w:rsid w:val="00180D3A"/>
    <w:rsid w:val="001830BB"/>
    <w:rsid w:val="00183661"/>
    <w:rsid w:val="00183C4D"/>
    <w:rsid w:val="00183ECC"/>
    <w:rsid w:val="001908FE"/>
    <w:rsid w:val="00190C55"/>
    <w:rsid w:val="00190DB5"/>
    <w:rsid w:val="00190F86"/>
    <w:rsid w:val="00191575"/>
    <w:rsid w:val="0019246A"/>
    <w:rsid w:val="0019292A"/>
    <w:rsid w:val="001A3193"/>
    <w:rsid w:val="001A4DE7"/>
    <w:rsid w:val="001A5919"/>
    <w:rsid w:val="001A5E3D"/>
    <w:rsid w:val="001A6AF5"/>
    <w:rsid w:val="001A7B0D"/>
    <w:rsid w:val="001A7FF4"/>
    <w:rsid w:val="001B18BB"/>
    <w:rsid w:val="001B6F21"/>
    <w:rsid w:val="001D3C3F"/>
    <w:rsid w:val="001D7051"/>
    <w:rsid w:val="001E2165"/>
    <w:rsid w:val="001E687D"/>
    <w:rsid w:val="001F6F8F"/>
    <w:rsid w:val="001F7062"/>
    <w:rsid w:val="001F7C3E"/>
    <w:rsid w:val="00203D94"/>
    <w:rsid w:val="00204C68"/>
    <w:rsid w:val="00206CF7"/>
    <w:rsid w:val="0020785B"/>
    <w:rsid w:val="0021241E"/>
    <w:rsid w:val="002129FE"/>
    <w:rsid w:val="002134E3"/>
    <w:rsid w:val="00214757"/>
    <w:rsid w:val="002147AF"/>
    <w:rsid w:val="00214CC7"/>
    <w:rsid w:val="00224283"/>
    <w:rsid w:val="002246EC"/>
    <w:rsid w:val="00230004"/>
    <w:rsid w:val="002365C0"/>
    <w:rsid w:val="00236DF7"/>
    <w:rsid w:val="00240319"/>
    <w:rsid w:val="0024092B"/>
    <w:rsid w:val="00240E0E"/>
    <w:rsid w:val="002440D0"/>
    <w:rsid w:val="00246889"/>
    <w:rsid w:val="002503D4"/>
    <w:rsid w:val="00250955"/>
    <w:rsid w:val="00251A9C"/>
    <w:rsid w:val="00251B45"/>
    <w:rsid w:val="00256A21"/>
    <w:rsid w:val="00256C78"/>
    <w:rsid w:val="0025786B"/>
    <w:rsid w:val="00262438"/>
    <w:rsid w:val="00263DEA"/>
    <w:rsid w:val="0027145B"/>
    <w:rsid w:val="00273FFF"/>
    <w:rsid w:val="00281C14"/>
    <w:rsid w:val="0028200D"/>
    <w:rsid w:val="0028409D"/>
    <w:rsid w:val="00285E73"/>
    <w:rsid w:val="00291D4A"/>
    <w:rsid w:val="002A01BA"/>
    <w:rsid w:val="002A356C"/>
    <w:rsid w:val="002A6750"/>
    <w:rsid w:val="002B0744"/>
    <w:rsid w:val="002B1F40"/>
    <w:rsid w:val="002B2991"/>
    <w:rsid w:val="002B2D6D"/>
    <w:rsid w:val="002B6ECC"/>
    <w:rsid w:val="002C1BFA"/>
    <w:rsid w:val="002C3C16"/>
    <w:rsid w:val="002C54D6"/>
    <w:rsid w:val="002D5CB9"/>
    <w:rsid w:val="002D7861"/>
    <w:rsid w:val="002E331F"/>
    <w:rsid w:val="002F5FE4"/>
    <w:rsid w:val="002F6ADE"/>
    <w:rsid w:val="00301646"/>
    <w:rsid w:val="00305D3D"/>
    <w:rsid w:val="00305EFA"/>
    <w:rsid w:val="003122A5"/>
    <w:rsid w:val="003140E5"/>
    <w:rsid w:val="0031423B"/>
    <w:rsid w:val="00320D99"/>
    <w:rsid w:val="00322D17"/>
    <w:rsid w:val="00325A5E"/>
    <w:rsid w:val="00330659"/>
    <w:rsid w:val="0033126A"/>
    <w:rsid w:val="00334701"/>
    <w:rsid w:val="00335744"/>
    <w:rsid w:val="0033619C"/>
    <w:rsid w:val="0034101E"/>
    <w:rsid w:val="003516E5"/>
    <w:rsid w:val="00361625"/>
    <w:rsid w:val="00361960"/>
    <w:rsid w:val="00361CC0"/>
    <w:rsid w:val="00365318"/>
    <w:rsid w:val="00367B2F"/>
    <w:rsid w:val="0037151D"/>
    <w:rsid w:val="0037288B"/>
    <w:rsid w:val="00374A49"/>
    <w:rsid w:val="0037719E"/>
    <w:rsid w:val="003805C7"/>
    <w:rsid w:val="00382961"/>
    <w:rsid w:val="0038601C"/>
    <w:rsid w:val="003868A7"/>
    <w:rsid w:val="00387C8F"/>
    <w:rsid w:val="00392E2A"/>
    <w:rsid w:val="0039501D"/>
    <w:rsid w:val="003B05EA"/>
    <w:rsid w:val="003B0A47"/>
    <w:rsid w:val="003B0D7C"/>
    <w:rsid w:val="003B6CAC"/>
    <w:rsid w:val="003C589B"/>
    <w:rsid w:val="003C69A9"/>
    <w:rsid w:val="003C70D0"/>
    <w:rsid w:val="003C71A1"/>
    <w:rsid w:val="003D2174"/>
    <w:rsid w:val="003D6BEC"/>
    <w:rsid w:val="003D7326"/>
    <w:rsid w:val="003D7CA5"/>
    <w:rsid w:val="003D7FD9"/>
    <w:rsid w:val="003E27BD"/>
    <w:rsid w:val="003E6296"/>
    <w:rsid w:val="003E6483"/>
    <w:rsid w:val="003F42A4"/>
    <w:rsid w:val="00400364"/>
    <w:rsid w:val="004003DE"/>
    <w:rsid w:val="00400EA2"/>
    <w:rsid w:val="00401FFD"/>
    <w:rsid w:val="004026CB"/>
    <w:rsid w:val="00402B15"/>
    <w:rsid w:val="004046EB"/>
    <w:rsid w:val="00405C1E"/>
    <w:rsid w:val="004063BF"/>
    <w:rsid w:val="00411DCA"/>
    <w:rsid w:val="00413469"/>
    <w:rsid w:val="00414E3B"/>
    <w:rsid w:val="00422039"/>
    <w:rsid w:val="00423AA0"/>
    <w:rsid w:val="00423C2C"/>
    <w:rsid w:val="00424A3A"/>
    <w:rsid w:val="0042727E"/>
    <w:rsid w:val="00430954"/>
    <w:rsid w:val="00434D78"/>
    <w:rsid w:val="00436A98"/>
    <w:rsid w:val="00446990"/>
    <w:rsid w:val="00451BE8"/>
    <w:rsid w:val="00455C56"/>
    <w:rsid w:val="00455F5B"/>
    <w:rsid w:val="00460091"/>
    <w:rsid w:val="00461D2C"/>
    <w:rsid w:val="00463A6E"/>
    <w:rsid w:val="00465965"/>
    <w:rsid w:val="00471E44"/>
    <w:rsid w:val="00474AA5"/>
    <w:rsid w:val="0047658D"/>
    <w:rsid w:val="00476DC3"/>
    <w:rsid w:val="00476F95"/>
    <w:rsid w:val="00483136"/>
    <w:rsid w:val="00487154"/>
    <w:rsid w:val="00495DA3"/>
    <w:rsid w:val="00496401"/>
    <w:rsid w:val="00496C97"/>
    <w:rsid w:val="004A3407"/>
    <w:rsid w:val="004A711C"/>
    <w:rsid w:val="004A7D15"/>
    <w:rsid w:val="004B2665"/>
    <w:rsid w:val="004B54B2"/>
    <w:rsid w:val="004B6022"/>
    <w:rsid w:val="004B631E"/>
    <w:rsid w:val="004C5671"/>
    <w:rsid w:val="004C5756"/>
    <w:rsid w:val="004D0CA8"/>
    <w:rsid w:val="004D6164"/>
    <w:rsid w:val="004D630B"/>
    <w:rsid w:val="004D7906"/>
    <w:rsid w:val="004E3589"/>
    <w:rsid w:val="004F2E9E"/>
    <w:rsid w:val="004F3C03"/>
    <w:rsid w:val="004F6772"/>
    <w:rsid w:val="00504B02"/>
    <w:rsid w:val="00505DBD"/>
    <w:rsid w:val="005077EC"/>
    <w:rsid w:val="0051420F"/>
    <w:rsid w:val="00517837"/>
    <w:rsid w:val="005229A6"/>
    <w:rsid w:val="005276D9"/>
    <w:rsid w:val="0052784C"/>
    <w:rsid w:val="00533847"/>
    <w:rsid w:val="00537354"/>
    <w:rsid w:val="00540FE6"/>
    <w:rsid w:val="005415B9"/>
    <w:rsid w:val="00544453"/>
    <w:rsid w:val="00547987"/>
    <w:rsid w:val="005506CC"/>
    <w:rsid w:val="00551451"/>
    <w:rsid w:val="00551EAC"/>
    <w:rsid w:val="00552265"/>
    <w:rsid w:val="0055235E"/>
    <w:rsid w:val="005526FC"/>
    <w:rsid w:val="005613B2"/>
    <w:rsid w:val="005613B7"/>
    <w:rsid w:val="0056319D"/>
    <w:rsid w:val="0056553A"/>
    <w:rsid w:val="005664C2"/>
    <w:rsid w:val="0056656E"/>
    <w:rsid w:val="005670BC"/>
    <w:rsid w:val="00573819"/>
    <w:rsid w:val="005744B5"/>
    <w:rsid w:val="00574CD2"/>
    <w:rsid w:val="005809D7"/>
    <w:rsid w:val="00583220"/>
    <w:rsid w:val="00586868"/>
    <w:rsid w:val="00586F65"/>
    <w:rsid w:val="00587BC4"/>
    <w:rsid w:val="005939EB"/>
    <w:rsid w:val="00596E16"/>
    <w:rsid w:val="0059741E"/>
    <w:rsid w:val="005A095A"/>
    <w:rsid w:val="005A1EF9"/>
    <w:rsid w:val="005A308F"/>
    <w:rsid w:val="005A567F"/>
    <w:rsid w:val="005A65E2"/>
    <w:rsid w:val="005B0578"/>
    <w:rsid w:val="005B2C94"/>
    <w:rsid w:val="005B43C9"/>
    <w:rsid w:val="005B55EC"/>
    <w:rsid w:val="005B7489"/>
    <w:rsid w:val="005C0F38"/>
    <w:rsid w:val="005C277A"/>
    <w:rsid w:val="005C4710"/>
    <w:rsid w:val="005C7106"/>
    <w:rsid w:val="005D601C"/>
    <w:rsid w:val="005D6439"/>
    <w:rsid w:val="005E3CEC"/>
    <w:rsid w:val="005F7AE3"/>
    <w:rsid w:val="005F7C03"/>
    <w:rsid w:val="00604DA5"/>
    <w:rsid w:val="00607B21"/>
    <w:rsid w:val="00611832"/>
    <w:rsid w:val="0061198C"/>
    <w:rsid w:val="006129F6"/>
    <w:rsid w:val="00612FDF"/>
    <w:rsid w:val="00614419"/>
    <w:rsid w:val="00617FA5"/>
    <w:rsid w:val="00622FB6"/>
    <w:rsid w:val="00624D00"/>
    <w:rsid w:val="006272D4"/>
    <w:rsid w:val="006273DD"/>
    <w:rsid w:val="00627D47"/>
    <w:rsid w:val="00634327"/>
    <w:rsid w:val="00641085"/>
    <w:rsid w:val="00643CA2"/>
    <w:rsid w:val="00643D40"/>
    <w:rsid w:val="0064505D"/>
    <w:rsid w:val="00654FF6"/>
    <w:rsid w:val="0066030C"/>
    <w:rsid w:val="0066193B"/>
    <w:rsid w:val="0066460D"/>
    <w:rsid w:val="0066477A"/>
    <w:rsid w:val="0067177F"/>
    <w:rsid w:val="00673A93"/>
    <w:rsid w:val="00674427"/>
    <w:rsid w:val="00680AD6"/>
    <w:rsid w:val="006812D9"/>
    <w:rsid w:val="00682040"/>
    <w:rsid w:val="00691221"/>
    <w:rsid w:val="00693140"/>
    <w:rsid w:val="00693F5F"/>
    <w:rsid w:val="00695486"/>
    <w:rsid w:val="006959C5"/>
    <w:rsid w:val="00696B6E"/>
    <w:rsid w:val="006A1FAF"/>
    <w:rsid w:val="006A3F21"/>
    <w:rsid w:val="006A40F1"/>
    <w:rsid w:val="006A68DF"/>
    <w:rsid w:val="006A789B"/>
    <w:rsid w:val="006B5250"/>
    <w:rsid w:val="006B6972"/>
    <w:rsid w:val="006B7697"/>
    <w:rsid w:val="006C4A5E"/>
    <w:rsid w:val="006C6856"/>
    <w:rsid w:val="006C76BA"/>
    <w:rsid w:val="006C7FC4"/>
    <w:rsid w:val="006D135D"/>
    <w:rsid w:val="006D4FC6"/>
    <w:rsid w:val="006D667C"/>
    <w:rsid w:val="006D722F"/>
    <w:rsid w:val="006E2866"/>
    <w:rsid w:val="006E2BC4"/>
    <w:rsid w:val="006E503E"/>
    <w:rsid w:val="006E70E2"/>
    <w:rsid w:val="006F081A"/>
    <w:rsid w:val="006F27C4"/>
    <w:rsid w:val="006F3031"/>
    <w:rsid w:val="006F6A89"/>
    <w:rsid w:val="00704087"/>
    <w:rsid w:val="00705E94"/>
    <w:rsid w:val="0070684D"/>
    <w:rsid w:val="00710CF5"/>
    <w:rsid w:val="007112B0"/>
    <w:rsid w:val="007167ED"/>
    <w:rsid w:val="0071772C"/>
    <w:rsid w:val="007240A3"/>
    <w:rsid w:val="00733D99"/>
    <w:rsid w:val="0074119F"/>
    <w:rsid w:val="0074450D"/>
    <w:rsid w:val="00745445"/>
    <w:rsid w:val="00745571"/>
    <w:rsid w:val="00746DC1"/>
    <w:rsid w:val="00746ED9"/>
    <w:rsid w:val="00750094"/>
    <w:rsid w:val="007549DC"/>
    <w:rsid w:val="00767401"/>
    <w:rsid w:val="0077296A"/>
    <w:rsid w:val="00776E74"/>
    <w:rsid w:val="00777046"/>
    <w:rsid w:val="00777F0D"/>
    <w:rsid w:val="00781657"/>
    <w:rsid w:val="0078191E"/>
    <w:rsid w:val="00782EC6"/>
    <w:rsid w:val="007858BF"/>
    <w:rsid w:val="007931A8"/>
    <w:rsid w:val="00797280"/>
    <w:rsid w:val="007A07FA"/>
    <w:rsid w:val="007A10CC"/>
    <w:rsid w:val="007A1205"/>
    <w:rsid w:val="007A4EAE"/>
    <w:rsid w:val="007A62F3"/>
    <w:rsid w:val="007C118C"/>
    <w:rsid w:val="007C1D2F"/>
    <w:rsid w:val="007C1ECD"/>
    <w:rsid w:val="007C56EC"/>
    <w:rsid w:val="007C5AB2"/>
    <w:rsid w:val="007C762E"/>
    <w:rsid w:val="007D2311"/>
    <w:rsid w:val="007D4A3C"/>
    <w:rsid w:val="007D7ACF"/>
    <w:rsid w:val="007E04E7"/>
    <w:rsid w:val="007E1AE5"/>
    <w:rsid w:val="007E65F6"/>
    <w:rsid w:val="007F2F80"/>
    <w:rsid w:val="007F4B9F"/>
    <w:rsid w:val="00802795"/>
    <w:rsid w:val="0080513A"/>
    <w:rsid w:val="008055EB"/>
    <w:rsid w:val="0082032E"/>
    <w:rsid w:val="00824941"/>
    <w:rsid w:val="00826CB5"/>
    <w:rsid w:val="0083040E"/>
    <w:rsid w:val="00831B23"/>
    <w:rsid w:val="00833044"/>
    <w:rsid w:val="00837CF2"/>
    <w:rsid w:val="00841BBF"/>
    <w:rsid w:val="00841C79"/>
    <w:rsid w:val="00843447"/>
    <w:rsid w:val="00843714"/>
    <w:rsid w:val="00844D44"/>
    <w:rsid w:val="00846E49"/>
    <w:rsid w:val="00847620"/>
    <w:rsid w:val="00850C25"/>
    <w:rsid w:val="00860D51"/>
    <w:rsid w:val="00861152"/>
    <w:rsid w:val="0086202B"/>
    <w:rsid w:val="00862387"/>
    <w:rsid w:val="008635F2"/>
    <w:rsid w:val="00864780"/>
    <w:rsid w:val="00864EF4"/>
    <w:rsid w:val="00871BE7"/>
    <w:rsid w:val="0087467D"/>
    <w:rsid w:val="008760A4"/>
    <w:rsid w:val="0088084E"/>
    <w:rsid w:val="00880873"/>
    <w:rsid w:val="00885824"/>
    <w:rsid w:val="00895F99"/>
    <w:rsid w:val="00896787"/>
    <w:rsid w:val="008A5EB7"/>
    <w:rsid w:val="008B1C26"/>
    <w:rsid w:val="008B35BC"/>
    <w:rsid w:val="008B5AE8"/>
    <w:rsid w:val="008B69BB"/>
    <w:rsid w:val="008B792A"/>
    <w:rsid w:val="008C1C11"/>
    <w:rsid w:val="008C35EA"/>
    <w:rsid w:val="008C5EB3"/>
    <w:rsid w:val="008D1A07"/>
    <w:rsid w:val="008D541B"/>
    <w:rsid w:val="008D769D"/>
    <w:rsid w:val="008E01A3"/>
    <w:rsid w:val="008E3C8C"/>
    <w:rsid w:val="008E4A0A"/>
    <w:rsid w:val="008F010B"/>
    <w:rsid w:val="008F4174"/>
    <w:rsid w:val="00901BC1"/>
    <w:rsid w:val="009025C8"/>
    <w:rsid w:val="00902EE1"/>
    <w:rsid w:val="00903A7B"/>
    <w:rsid w:val="00905878"/>
    <w:rsid w:val="009112FC"/>
    <w:rsid w:val="00911741"/>
    <w:rsid w:val="00912374"/>
    <w:rsid w:val="00914B51"/>
    <w:rsid w:val="0091633E"/>
    <w:rsid w:val="00917022"/>
    <w:rsid w:val="00921B5A"/>
    <w:rsid w:val="00921BFF"/>
    <w:rsid w:val="0092490C"/>
    <w:rsid w:val="00933670"/>
    <w:rsid w:val="00934FD5"/>
    <w:rsid w:val="0093555F"/>
    <w:rsid w:val="00937EF2"/>
    <w:rsid w:val="0094011B"/>
    <w:rsid w:val="009406CD"/>
    <w:rsid w:val="00944A17"/>
    <w:rsid w:val="0096513C"/>
    <w:rsid w:val="00965A14"/>
    <w:rsid w:val="0096619C"/>
    <w:rsid w:val="00970455"/>
    <w:rsid w:val="00971B2F"/>
    <w:rsid w:val="00972B29"/>
    <w:rsid w:val="00973BD9"/>
    <w:rsid w:val="00976DC6"/>
    <w:rsid w:val="0098243D"/>
    <w:rsid w:val="00983FEB"/>
    <w:rsid w:val="0099128D"/>
    <w:rsid w:val="009961C2"/>
    <w:rsid w:val="009B122A"/>
    <w:rsid w:val="009B1A2A"/>
    <w:rsid w:val="009B2E10"/>
    <w:rsid w:val="009B41EF"/>
    <w:rsid w:val="009B64F4"/>
    <w:rsid w:val="009C71CD"/>
    <w:rsid w:val="009D1752"/>
    <w:rsid w:val="009D2D5A"/>
    <w:rsid w:val="009D3150"/>
    <w:rsid w:val="009D420C"/>
    <w:rsid w:val="009D5280"/>
    <w:rsid w:val="009E2BCF"/>
    <w:rsid w:val="009F11FC"/>
    <w:rsid w:val="009F3DA9"/>
    <w:rsid w:val="009F6F15"/>
    <w:rsid w:val="00A000ED"/>
    <w:rsid w:val="00A01FF0"/>
    <w:rsid w:val="00A0216C"/>
    <w:rsid w:val="00A03615"/>
    <w:rsid w:val="00A102B4"/>
    <w:rsid w:val="00A165BD"/>
    <w:rsid w:val="00A36048"/>
    <w:rsid w:val="00A36C40"/>
    <w:rsid w:val="00A371E0"/>
    <w:rsid w:val="00A37B41"/>
    <w:rsid w:val="00A4027C"/>
    <w:rsid w:val="00A4679E"/>
    <w:rsid w:val="00A55B60"/>
    <w:rsid w:val="00A57CD8"/>
    <w:rsid w:val="00A76BF4"/>
    <w:rsid w:val="00A77FE4"/>
    <w:rsid w:val="00A802DE"/>
    <w:rsid w:val="00A81D00"/>
    <w:rsid w:val="00A8523D"/>
    <w:rsid w:val="00A90760"/>
    <w:rsid w:val="00A9272F"/>
    <w:rsid w:val="00A943AC"/>
    <w:rsid w:val="00A95A3E"/>
    <w:rsid w:val="00AA156E"/>
    <w:rsid w:val="00AA6726"/>
    <w:rsid w:val="00AB7300"/>
    <w:rsid w:val="00AC2B84"/>
    <w:rsid w:val="00AC532A"/>
    <w:rsid w:val="00AC6E80"/>
    <w:rsid w:val="00AD24D0"/>
    <w:rsid w:val="00AD3E16"/>
    <w:rsid w:val="00AE04D2"/>
    <w:rsid w:val="00AE0521"/>
    <w:rsid w:val="00AE296F"/>
    <w:rsid w:val="00AE2E43"/>
    <w:rsid w:val="00AE3F32"/>
    <w:rsid w:val="00AE4267"/>
    <w:rsid w:val="00AE50DB"/>
    <w:rsid w:val="00AE5607"/>
    <w:rsid w:val="00AF164D"/>
    <w:rsid w:val="00AF1BBA"/>
    <w:rsid w:val="00AF2606"/>
    <w:rsid w:val="00AF3324"/>
    <w:rsid w:val="00AF51C3"/>
    <w:rsid w:val="00B10FBF"/>
    <w:rsid w:val="00B131D3"/>
    <w:rsid w:val="00B13522"/>
    <w:rsid w:val="00B13A1D"/>
    <w:rsid w:val="00B2045A"/>
    <w:rsid w:val="00B230BE"/>
    <w:rsid w:val="00B25E65"/>
    <w:rsid w:val="00B30026"/>
    <w:rsid w:val="00B32555"/>
    <w:rsid w:val="00B40A7C"/>
    <w:rsid w:val="00B412D0"/>
    <w:rsid w:val="00B416B1"/>
    <w:rsid w:val="00B4749D"/>
    <w:rsid w:val="00B54CC9"/>
    <w:rsid w:val="00B612F1"/>
    <w:rsid w:val="00B6212E"/>
    <w:rsid w:val="00B70A7A"/>
    <w:rsid w:val="00B719E5"/>
    <w:rsid w:val="00B73522"/>
    <w:rsid w:val="00B73C8B"/>
    <w:rsid w:val="00B7533C"/>
    <w:rsid w:val="00B7674B"/>
    <w:rsid w:val="00B769D0"/>
    <w:rsid w:val="00B76C75"/>
    <w:rsid w:val="00B77DC8"/>
    <w:rsid w:val="00B8234E"/>
    <w:rsid w:val="00B855CD"/>
    <w:rsid w:val="00B85994"/>
    <w:rsid w:val="00B87624"/>
    <w:rsid w:val="00B911E7"/>
    <w:rsid w:val="00B938D5"/>
    <w:rsid w:val="00B95EBD"/>
    <w:rsid w:val="00BA017B"/>
    <w:rsid w:val="00BB17E0"/>
    <w:rsid w:val="00BB1D17"/>
    <w:rsid w:val="00BB21C4"/>
    <w:rsid w:val="00BB2264"/>
    <w:rsid w:val="00BB2DEE"/>
    <w:rsid w:val="00BB3449"/>
    <w:rsid w:val="00BB34E5"/>
    <w:rsid w:val="00BB45EF"/>
    <w:rsid w:val="00BB6A88"/>
    <w:rsid w:val="00BB7B6D"/>
    <w:rsid w:val="00BC112F"/>
    <w:rsid w:val="00BC2232"/>
    <w:rsid w:val="00BC4468"/>
    <w:rsid w:val="00BC5394"/>
    <w:rsid w:val="00BC70B7"/>
    <w:rsid w:val="00BD0122"/>
    <w:rsid w:val="00BD039A"/>
    <w:rsid w:val="00BD77FA"/>
    <w:rsid w:val="00BD7DF7"/>
    <w:rsid w:val="00BE150A"/>
    <w:rsid w:val="00BE7677"/>
    <w:rsid w:val="00BF0C6A"/>
    <w:rsid w:val="00BF585D"/>
    <w:rsid w:val="00BF73F4"/>
    <w:rsid w:val="00BF7F4C"/>
    <w:rsid w:val="00C10332"/>
    <w:rsid w:val="00C10A83"/>
    <w:rsid w:val="00C1271A"/>
    <w:rsid w:val="00C14527"/>
    <w:rsid w:val="00C238D5"/>
    <w:rsid w:val="00C23D3D"/>
    <w:rsid w:val="00C32949"/>
    <w:rsid w:val="00C40228"/>
    <w:rsid w:val="00C40FA1"/>
    <w:rsid w:val="00C41ACB"/>
    <w:rsid w:val="00C479E7"/>
    <w:rsid w:val="00C5066D"/>
    <w:rsid w:val="00C577E3"/>
    <w:rsid w:val="00C60DC6"/>
    <w:rsid w:val="00C61FB1"/>
    <w:rsid w:val="00C74CC8"/>
    <w:rsid w:val="00C75FC0"/>
    <w:rsid w:val="00C77744"/>
    <w:rsid w:val="00C82E7B"/>
    <w:rsid w:val="00C83AA4"/>
    <w:rsid w:val="00C85F64"/>
    <w:rsid w:val="00C87406"/>
    <w:rsid w:val="00C925EC"/>
    <w:rsid w:val="00C96383"/>
    <w:rsid w:val="00C96CAF"/>
    <w:rsid w:val="00CA064F"/>
    <w:rsid w:val="00CA1F46"/>
    <w:rsid w:val="00CA3EDA"/>
    <w:rsid w:val="00CB08FF"/>
    <w:rsid w:val="00CB0935"/>
    <w:rsid w:val="00CB5E44"/>
    <w:rsid w:val="00CB7CC3"/>
    <w:rsid w:val="00CC044F"/>
    <w:rsid w:val="00CC308E"/>
    <w:rsid w:val="00CC44B8"/>
    <w:rsid w:val="00CC5ACC"/>
    <w:rsid w:val="00CD059D"/>
    <w:rsid w:val="00CD1029"/>
    <w:rsid w:val="00CE074F"/>
    <w:rsid w:val="00CF12EB"/>
    <w:rsid w:val="00CF3039"/>
    <w:rsid w:val="00CF5C5C"/>
    <w:rsid w:val="00D01218"/>
    <w:rsid w:val="00D04FCA"/>
    <w:rsid w:val="00D05653"/>
    <w:rsid w:val="00D1201F"/>
    <w:rsid w:val="00D12167"/>
    <w:rsid w:val="00D14043"/>
    <w:rsid w:val="00D15A7D"/>
    <w:rsid w:val="00D15F13"/>
    <w:rsid w:val="00D30524"/>
    <w:rsid w:val="00D33C1E"/>
    <w:rsid w:val="00D33E02"/>
    <w:rsid w:val="00D35559"/>
    <w:rsid w:val="00D36BF7"/>
    <w:rsid w:val="00D44B6B"/>
    <w:rsid w:val="00D44F94"/>
    <w:rsid w:val="00D454C4"/>
    <w:rsid w:val="00D460C7"/>
    <w:rsid w:val="00D53727"/>
    <w:rsid w:val="00D6689D"/>
    <w:rsid w:val="00D66995"/>
    <w:rsid w:val="00D6709F"/>
    <w:rsid w:val="00D670E9"/>
    <w:rsid w:val="00D71304"/>
    <w:rsid w:val="00D82129"/>
    <w:rsid w:val="00D85D7D"/>
    <w:rsid w:val="00D91A94"/>
    <w:rsid w:val="00D91B74"/>
    <w:rsid w:val="00D95F62"/>
    <w:rsid w:val="00DA1ECB"/>
    <w:rsid w:val="00DA663F"/>
    <w:rsid w:val="00DA7474"/>
    <w:rsid w:val="00DA755B"/>
    <w:rsid w:val="00DB01CE"/>
    <w:rsid w:val="00DB0669"/>
    <w:rsid w:val="00DC057D"/>
    <w:rsid w:val="00DC08FB"/>
    <w:rsid w:val="00DC0C55"/>
    <w:rsid w:val="00DC1548"/>
    <w:rsid w:val="00DC23E5"/>
    <w:rsid w:val="00DD2AD9"/>
    <w:rsid w:val="00DD36F6"/>
    <w:rsid w:val="00DD655C"/>
    <w:rsid w:val="00DE028F"/>
    <w:rsid w:val="00DE6FD6"/>
    <w:rsid w:val="00DE7B6C"/>
    <w:rsid w:val="00DF0511"/>
    <w:rsid w:val="00DF779E"/>
    <w:rsid w:val="00E00F21"/>
    <w:rsid w:val="00E02DEA"/>
    <w:rsid w:val="00E04B57"/>
    <w:rsid w:val="00E05066"/>
    <w:rsid w:val="00E0767D"/>
    <w:rsid w:val="00E11132"/>
    <w:rsid w:val="00E12AE5"/>
    <w:rsid w:val="00E134FC"/>
    <w:rsid w:val="00E136DC"/>
    <w:rsid w:val="00E164DB"/>
    <w:rsid w:val="00E200D2"/>
    <w:rsid w:val="00E21F5A"/>
    <w:rsid w:val="00E23067"/>
    <w:rsid w:val="00E25362"/>
    <w:rsid w:val="00E27DB8"/>
    <w:rsid w:val="00E316B6"/>
    <w:rsid w:val="00E407C6"/>
    <w:rsid w:val="00E41060"/>
    <w:rsid w:val="00E46FE2"/>
    <w:rsid w:val="00E47351"/>
    <w:rsid w:val="00E47FF3"/>
    <w:rsid w:val="00E50412"/>
    <w:rsid w:val="00E50B2A"/>
    <w:rsid w:val="00E559B1"/>
    <w:rsid w:val="00E5663A"/>
    <w:rsid w:val="00E56FC2"/>
    <w:rsid w:val="00E5744B"/>
    <w:rsid w:val="00E60206"/>
    <w:rsid w:val="00E716AA"/>
    <w:rsid w:val="00E80E06"/>
    <w:rsid w:val="00E94027"/>
    <w:rsid w:val="00E94512"/>
    <w:rsid w:val="00E9797B"/>
    <w:rsid w:val="00EB4318"/>
    <w:rsid w:val="00EC4677"/>
    <w:rsid w:val="00EC561C"/>
    <w:rsid w:val="00ED3CAC"/>
    <w:rsid w:val="00ED4898"/>
    <w:rsid w:val="00ED74B1"/>
    <w:rsid w:val="00EE3F21"/>
    <w:rsid w:val="00EE4A58"/>
    <w:rsid w:val="00EE5474"/>
    <w:rsid w:val="00EE75A8"/>
    <w:rsid w:val="00EE78DF"/>
    <w:rsid w:val="00EE7BCF"/>
    <w:rsid w:val="00EF4725"/>
    <w:rsid w:val="00EF69EB"/>
    <w:rsid w:val="00EF78D8"/>
    <w:rsid w:val="00F020BB"/>
    <w:rsid w:val="00F022FA"/>
    <w:rsid w:val="00F07C81"/>
    <w:rsid w:val="00F10DCB"/>
    <w:rsid w:val="00F12215"/>
    <w:rsid w:val="00F130C3"/>
    <w:rsid w:val="00F15779"/>
    <w:rsid w:val="00F16CC4"/>
    <w:rsid w:val="00F17FD3"/>
    <w:rsid w:val="00F2172E"/>
    <w:rsid w:val="00F22589"/>
    <w:rsid w:val="00F233D6"/>
    <w:rsid w:val="00F244D7"/>
    <w:rsid w:val="00F278D1"/>
    <w:rsid w:val="00F3440E"/>
    <w:rsid w:val="00F35CC9"/>
    <w:rsid w:val="00F36B95"/>
    <w:rsid w:val="00F3731D"/>
    <w:rsid w:val="00F4092E"/>
    <w:rsid w:val="00F43582"/>
    <w:rsid w:val="00F4549C"/>
    <w:rsid w:val="00F5168F"/>
    <w:rsid w:val="00F51E0B"/>
    <w:rsid w:val="00F543B7"/>
    <w:rsid w:val="00F54F85"/>
    <w:rsid w:val="00F56EA8"/>
    <w:rsid w:val="00F63077"/>
    <w:rsid w:val="00F64906"/>
    <w:rsid w:val="00F64DC7"/>
    <w:rsid w:val="00F737DC"/>
    <w:rsid w:val="00F80A68"/>
    <w:rsid w:val="00F81809"/>
    <w:rsid w:val="00F82E7E"/>
    <w:rsid w:val="00F83CC2"/>
    <w:rsid w:val="00F90193"/>
    <w:rsid w:val="00F92817"/>
    <w:rsid w:val="00F93EC1"/>
    <w:rsid w:val="00FA171D"/>
    <w:rsid w:val="00FA2CE1"/>
    <w:rsid w:val="00FA37FA"/>
    <w:rsid w:val="00FA3874"/>
    <w:rsid w:val="00FA44C5"/>
    <w:rsid w:val="00FA6193"/>
    <w:rsid w:val="00FA6F49"/>
    <w:rsid w:val="00FB043A"/>
    <w:rsid w:val="00FB1861"/>
    <w:rsid w:val="00FC08ED"/>
    <w:rsid w:val="00FC0E31"/>
    <w:rsid w:val="00FC47C3"/>
    <w:rsid w:val="00FC71B0"/>
    <w:rsid w:val="00FC7624"/>
    <w:rsid w:val="00FD1714"/>
    <w:rsid w:val="00FD77EA"/>
    <w:rsid w:val="00FF03F4"/>
    <w:rsid w:val="00FF152C"/>
    <w:rsid w:val="00FF42DD"/>
    <w:rsid w:val="00FF60BE"/>
    <w:rsid w:val="00FF79C2"/>
    <w:rsid w:val="4F894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Date" w:uiPriority="99"/>
    <w:lsdException w:name="Hyperlink" w:uiPriority="99" w:unhideWhenUsed="1"/>
    <w:lsdException w:name="Strong" w:qFormat="1"/>
    <w:lsdException w:name="Emphasis" w:uiPriority="20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Char"/>
    <w:uiPriority w:val="9"/>
    <w:qFormat/>
    <w:pPr>
      <w:spacing w:before="100" w:beforeAutospacing="1" w:after="100" w:afterAutospacing="1"/>
      <w:outlineLvl w:val="3"/>
    </w:pPr>
    <w:rPr>
      <w:rFonts w:ascii="宋体" w:hAnsi="宋体"/>
      <w:b/>
      <w:bCs/>
      <w:sz w:val="24"/>
      <w:szCs w:val="24"/>
    </w:rPr>
  </w:style>
  <w:style w:type="paragraph" w:styleId="5">
    <w:name w:val="heading 5"/>
    <w:basedOn w:val="a"/>
    <w:next w:val="a"/>
    <w:link w:val="5Char"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link w:val="4"/>
    <w:uiPriority w:val="9"/>
    <w:rPr>
      <w:rFonts w:ascii="宋体" w:hAnsi="宋体" w:cs="宋体"/>
      <w:b/>
      <w:bCs/>
      <w:sz w:val="24"/>
      <w:szCs w:val="24"/>
    </w:rPr>
  </w:style>
  <w:style w:type="character" w:customStyle="1" w:styleId="5Char">
    <w:name w:val="标题 5 Char"/>
    <w:link w:val="5"/>
    <w:semiHidden/>
    <w:rPr>
      <w:b/>
      <w:bCs/>
      <w:sz w:val="28"/>
      <w:szCs w:val="28"/>
    </w:rPr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ody Text"/>
    <w:basedOn w:val="a"/>
    <w:link w:val="Char"/>
    <w:pPr>
      <w:spacing w:after="120"/>
    </w:pPr>
  </w:style>
  <w:style w:type="character" w:customStyle="1" w:styleId="Char">
    <w:name w:val="正文文本 Char"/>
    <w:link w:val="a4"/>
  </w:style>
  <w:style w:type="paragraph" w:styleId="a5">
    <w:name w:val="Body Text Indent"/>
    <w:basedOn w:val="a"/>
    <w:link w:val="Char0"/>
    <w:pPr>
      <w:widowControl w:val="0"/>
      <w:spacing w:line="500" w:lineRule="exact"/>
      <w:ind w:firstLine="570"/>
      <w:jc w:val="both"/>
    </w:pPr>
    <w:rPr>
      <w:rFonts w:eastAsia="黑体"/>
      <w:kern w:val="2"/>
      <w:sz w:val="24"/>
    </w:rPr>
  </w:style>
  <w:style w:type="character" w:customStyle="1" w:styleId="Char0">
    <w:name w:val="正文文本缩进 Char"/>
    <w:link w:val="a5"/>
    <w:rPr>
      <w:rFonts w:eastAsia="黑体"/>
      <w:kern w:val="2"/>
      <w:sz w:val="24"/>
    </w:rPr>
  </w:style>
  <w:style w:type="paragraph" w:styleId="a6">
    <w:name w:val="Plain Text"/>
    <w:basedOn w:val="a"/>
    <w:link w:val="Char1"/>
    <w:pPr>
      <w:widowControl w:val="0"/>
      <w:jc w:val="both"/>
    </w:pPr>
    <w:rPr>
      <w:rFonts w:ascii="宋体" w:hAnsi="Courier New"/>
      <w:kern w:val="2"/>
      <w:sz w:val="21"/>
    </w:rPr>
  </w:style>
  <w:style w:type="character" w:customStyle="1" w:styleId="Char1">
    <w:name w:val="纯文本 Char"/>
    <w:link w:val="a6"/>
    <w:rPr>
      <w:rFonts w:ascii="宋体" w:hAnsi="Courier New"/>
      <w:kern w:val="2"/>
      <w:sz w:val="21"/>
    </w:rPr>
  </w:style>
  <w:style w:type="paragraph" w:styleId="a7">
    <w:name w:val="Date"/>
    <w:basedOn w:val="a"/>
    <w:next w:val="a"/>
    <w:link w:val="Char2"/>
    <w:uiPriority w:val="99"/>
    <w:pPr>
      <w:ind w:leftChars="2500" w:left="100"/>
    </w:pPr>
  </w:style>
  <w:style w:type="character" w:customStyle="1" w:styleId="Char2">
    <w:name w:val="日期 Char"/>
    <w:link w:val="a7"/>
  </w:style>
  <w:style w:type="paragraph" w:styleId="2">
    <w:name w:val="Body Text Indent 2"/>
    <w:basedOn w:val="a"/>
    <w:link w:val="2Char"/>
    <w:pPr>
      <w:spacing w:after="120" w:line="480" w:lineRule="auto"/>
      <w:ind w:leftChars="200" w:left="420"/>
    </w:pPr>
  </w:style>
  <w:style w:type="character" w:customStyle="1" w:styleId="2Char">
    <w:name w:val="正文文本缩进 2 Char"/>
    <w:link w:val="2"/>
  </w:style>
  <w:style w:type="paragraph" w:styleId="a8">
    <w:name w:val="Balloon Text"/>
    <w:basedOn w:val="a"/>
    <w:semiHidden/>
    <w:rPr>
      <w:sz w:val="18"/>
      <w:szCs w:val="18"/>
    </w:rPr>
  </w:style>
  <w:style w:type="paragraph" w:styleId="a9">
    <w:name w:val="footer"/>
    <w:basedOn w:val="a"/>
    <w:link w:val="Char3"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3">
    <w:name w:val="页脚 Char"/>
    <w:link w:val="a9"/>
    <w:uiPriority w:val="99"/>
    <w:rPr>
      <w:sz w:val="18"/>
      <w:szCs w:val="18"/>
    </w:rPr>
  </w:style>
  <w:style w:type="paragraph" w:styleId="aa">
    <w:name w:val="header"/>
    <w:basedOn w:val="a"/>
    <w:link w:val="Char4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页眉 Char"/>
    <w:link w:val="aa"/>
    <w:uiPriority w:val="99"/>
    <w:rPr>
      <w:sz w:val="18"/>
      <w:szCs w:val="18"/>
    </w:rPr>
  </w:style>
  <w:style w:type="paragraph" w:styleId="ab">
    <w:name w:val="Normal (Web)"/>
    <w:basedOn w:val="a"/>
    <w:uiPriority w:val="99"/>
    <w:unhideWhenUsed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character" w:styleId="ac">
    <w:name w:val="page number"/>
  </w:style>
  <w:style w:type="character" w:styleId="ad">
    <w:name w:val="Emphasis"/>
    <w:uiPriority w:val="20"/>
    <w:qFormat/>
    <w:rPr>
      <w:i/>
      <w:iCs/>
    </w:rPr>
  </w:style>
  <w:style w:type="character" w:styleId="ae">
    <w:name w:val="Hyperlink"/>
    <w:uiPriority w:val="99"/>
    <w:unhideWhenUsed/>
    <w:rPr>
      <w:color w:val="0000FF"/>
      <w:u w:val="single"/>
    </w:rPr>
  </w:style>
  <w:style w:type="paragraph" w:customStyle="1" w:styleId="1">
    <w:name w:val="批注框文本1"/>
    <w:basedOn w:val="a"/>
    <w:semiHidden/>
    <w:rPr>
      <w:sz w:val="18"/>
      <w:szCs w:val="18"/>
    </w:rPr>
  </w:style>
  <w:style w:type="paragraph" w:customStyle="1" w:styleId="CharCharCharChar">
    <w:name w:val="Char Char Char Char"/>
    <w:basedOn w:val="a"/>
    <w:pPr>
      <w:widowControl w:val="0"/>
      <w:jc w:val="both"/>
    </w:pPr>
    <w:rPr>
      <w:kern w:val="2"/>
      <w:sz w:val="21"/>
      <w:szCs w:val="24"/>
    </w:rPr>
  </w:style>
  <w:style w:type="paragraph" w:customStyle="1" w:styleId="CharCharCharChar0">
    <w:name w:val="Char Char Char Char"/>
    <w:basedOn w:val="a"/>
    <w:pPr>
      <w:widowControl w:val="0"/>
      <w:jc w:val="both"/>
    </w:pPr>
    <w:rPr>
      <w:kern w:val="2"/>
      <w:sz w:val="21"/>
      <w:szCs w:val="24"/>
    </w:rPr>
  </w:style>
  <w:style w:type="paragraph" w:customStyle="1" w:styleId="af">
    <w:name w:val="字元"/>
    <w:basedOn w:val="a"/>
    <w:pPr>
      <w:widowControl w:val="0"/>
      <w:jc w:val="both"/>
    </w:pPr>
    <w:rPr>
      <w:kern w:val="2"/>
      <w:sz w:val="21"/>
      <w:szCs w:val="24"/>
    </w:rPr>
  </w:style>
  <w:style w:type="character" w:customStyle="1" w:styleId="af0">
    <w:name w:val="纯文本 字符"/>
    <w:rsid w:val="00D33E02"/>
    <w:rPr>
      <w:rFonts w:ascii="宋体" w:hAnsi="Courier New"/>
      <w:kern w:val="2"/>
      <w:sz w:val="21"/>
    </w:rPr>
  </w:style>
  <w:style w:type="character" w:styleId="af1">
    <w:name w:val="annotation reference"/>
    <w:rsid w:val="00281C14"/>
    <w:rPr>
      <w:sz w:val="21"/>
      <w:szCs w:val="21"/>
    </w:rPr>
  </w:style>
  <w:style w:type="paragraph" w:styleId="af2">
    <w:name w:val="annotation text"/>
    <w:basedOn w:val="a"/>
    <w:link w:val="Char5"/>
    <w:rsid w:val="00281C14"/>
  </w:style>
  <w:style w:type="character" w:customStyle="1" w:styleId="Char5">
    <w:name w:val="批注文字 Char"/>
    <w:basedOn w:val="a0"/>
    <w:link w:val="af2"/>
    <w:rsid w:val="00281C14"/>
  </w:style>
  <w:style w:type="paragraph" w:styleId="af3">
    <w:name w:val="annotation subject"/>
    <w:basedOn w:val="af2"/>
    <w:next w:val="af2"/>
    <w:link w:val="Char6"/>
    <w:rsid w:val="00281C14"/>
    <w:rPr>
      <w:b/>
      <w:bCs/>
    </w:rPr>
  </w:style>
  <w:style w:type="character" w:customStyle="1" w:styleId="Char6">
    <w:name w:val="批注主题 Char"/>
    <w:link w:val="af3"/>
    <w:rsid w:val="00281C1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Date" w:uiPriority="99"/>
    <w:lsdException w:name="Hyperlink" w:uiPriority="99" w:unhideWhenUsed="1"/>
    <w:lsdException w:name="Strong" w:qFormat="1"/>
    <w:lsdException w:name="Emphasis" w:uiPriority="20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Char"/>
    <w:uiPriority w:val="9"/>
    <w:qFormat/>
    <w:pPr>
      <w:spacing w:before="100" w:beforeAutospacing="1" w:after="100" w:afterAutospacing="1"/>
      <w:outlineLvl w:val="3"/>
    </w:pPr>
    <w:rPr>
      <w:rFonts w:ascii="宋体" w:hAnsi="宋体"/>
      <w:b/>
      <w:bCs/>
      <w:sz w:val="24"/>
      <w:szCs w:val="24"/>
    </w:rPr>
  </w:style>
  <w:style w:type="paragraph" w:styleId="5">
    <w:name w:val="heading 5"/>
    <w:basedOn w:val="a"/>
    <w:next w:val="a"/>
    <w:link w:val="5Char"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link w:val="4"/>
    <w:uiPriority w:val="9"/>
    <w:rPr>
      <w:rFonts w:ascii="宋体" w:hAnsi="宋体" w:cs="宋体"/>
      <w:b/>
      <w:bCs/>
      <w:sz w:val="24"/>
      <w:szCs w:val="24"/>
    </w:rPr>
  </w:style>
  <w:style w:type="character" w:customStyle="1" w:styleId="5Char">
    <w:name w:val="标题 5 Char"/>
    <w:link w:val="5"/>
    <w:semiHidden/>
    <w:rPr>
      <w:b/>
      <w:bCs/>
      <w:sz w:val="28"/>
      <w:szCs w:val="28"/>
    </w:rPr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ody Text"/>
    <w:basedOn w:val="a"/>
    <w:link w:val="Char"/>
    <w:pPr>
      <w:spacing w:after="120"/>
    </w:pPr>
  </w:style>
  <w:style w:type="character" w:customStyle="1" w:styleId="Char">
    <w:name w:val="正文文本 Char"/>
    <w:link w:val="a4"/>
  </w:style>
  <w:style w:type="paragraph" w:styleId="a5">
    <w:name w:val="Body Text Indent"/>
    <w:basedOn w:val="a"/>
    <w:link w:val="Char0"/>
    <w:pPr>
      <w:widowControl w:val="0"/>
      <w:spacing w:line="500" w:lineRule="exact"/>
      <w:ind w:firstLine="570"/>
      <w:jc w:val="both"/>
    </w:pPr>
    <w:rPr>
      <w:rFonts w:eastAsia="黑体"/>
      <w:kern w:val="2"/>
      <w:sz w:val="24"/>
    </w:rPr>
  </w:style>
  <w:style w:type="character" w:customStyle="1" w:styleId="Char0">
    <w:name w:val="正文文本缩进 Char"/>
    <w:link w:val="a5"/>
    <w:rPr>
      <w:rFonts w:eastAsia="黑体"/>
      <w:kern w:val="2"/>
      <w:sz w:val="24"/>
    </w:rPr>
  </w:style>
  <w:style w:type="paragraph" w:styleId="a6">
    <w:name w:val="Plain Text"/>
    <w:basedOn w:val="a"/>
    <w:link w:val="Char1"/>
    <w:pPr>
      <w:widowControl w:val="0"/>
      <w:jc w:val="both"/>
    </w:pPr>
    <w:rPr>
      <w:rFonts w:ascii="宋体" w:hAnsi="Courier New"/>
      <w:kern w:val="2"/>
      <w:sz w:val="21"/>
    </w:rPr>
  </w:style>
  <w:style w:type="character" w:customStyle="1" w:styleId="Char1">
    <w:name w:val="纯文本 Char"/>
    <w:link w:val="a6"/>
    <w:rPr>
      <w:rFonts w:ascii="宋体" w:hAnsi="Courier New"/>
      <w:kern w:val="2"/>
      <w:sz w:val="21"/>
    </w:rPr>
  </w:style>
  <w:style w:type="paragraph" w:styleId="a7">
    <w:name w:val="Date"/>
    <w:basedOn w:val="a"/>
    <w:next w:val="a"/>
    <w:link w:val="Char2"/>
    <w:uiPriority w:val="99"/>
    <w:pPr>
      <w:ind w:leftChars="2500" w:left="100"/>
    </w:pPr>
  </w:style>
  <w:style w:type="character" w:customStyle="1" w:styleId="Char2">
    <w:name w:val="日期 Char"/>
    <w:link w:val="a7"/>
  </w:style>
  <w:style w:type="paragraph" w:styleId="2">
    <w:name w:val="Body Text Indent 2"/>
    <w:basedOn w:val="a"/>
    <w:link w:val="2Char"/>
    <w:pPr>
      <w:spacing w:after="120" w:line="480" w:lineRule="auto"/>
      <w:ind w:leftChars="200" w:left="420"/>
    </w:pPr>
  </w:style>
  <w:style w:type="character" w:customStyle="1" w:styleId="2Char">
    <w:name w:val="正文文本缩进 2 Char"/>
    <w:link w:val="2"/>
  </w:style>
  <w:style w:type="paragraph" w:styleId="a8">
    <w:name w:val="Balloon Text"/>
    <w:basedOn w:val="a"/>
    <w:semiHidden/>
    <w:rPr>
      <w:sz w:val="18"/>
      <w:szCs w:val="18"/>
    </w:rPr>
  </w:style>
  <w:style w:type="paragraph" w:styleId="a9">
    <w:name w:val="footer"/>
    <w:basedOn w:val="a"/>
    <w:link w:val="Char3"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3">
    <w:name w:val="页脚 Char"/>
    <w:link w:val="a9"/>
    <w:uiPriority w:val="99"/>
    <w:rPr>
      <w:sz w:val="18"/>
      <w:szCs w:val="18"/>
    </w:rPr>
  </w:style>
  <w:style w:type="paragraph" w:styleId="aa">
    <w:name w:val="header"/>
    <w:basedOn w:val="a"/>
    <w:link w:val="Char4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页眉 Char"/>
    <w:link w:val="aa"/>
    <w:uiPriority w:val="99"/>
    <w:rPr>
      <w:sz w:val="18"/>
      <w:szCs w:val="18"/>
    </w:rPr>
  </w:style>
  <w:style w:type="paragraph" w:styleId="ab">
    <w:name w:val="Normal (Web)"/>
    <w:basedOn w:val="a"/>
    <w:uiPriority w:val="99"/>
    <w:unhideWhenUsed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character" w:styleId="ac">
    <w:name w:val="page number"/>
  </w:style>
  <w:style w:type="character" w:styleId="ad">
    <w:name w:val="Emphasis"/>
    <w:uiPriority w:val="20"/>
    <w:qFormat/>
    <w:rPr>
      <w:i/>
      <w:iCs/>
    </w:rPr>
  </w:style>
  <w:style w:type="character" w:styleId="ae">
    <w:name w:val="Hyperlink"/>
    <w:uiPriority w:val="99"/>
    <w:unhideWhenUsed/>
    <w:rPr>
      <w:color w:val="0000FF"/>
      <w:u w:val="single"/>
    </w:rPr>
  </w:style>
  <w:style w:type="paragraph" w:customStyle="1" w:styleId="1">
    <w:name w:val="批注框文本1"/>
    <w:basedOn w:val="a"/>
    <w:semiHidden/>
    <w:rPr>
      <w:sz w:val="18"/>
      <w:szCs w:val="18"/>
    </w:rPr>
  </w:style>
  <w:style w:type="paragraph" w:customStyle="1" w:styleId="CharCharCharChar">
    <w:name w:val="Char Char Char Char"/>
    <w:basedOn w:val="a"/>
    <w:pPr>
      <w:widowControl w:val="0"/>
      <w:jc w:val="both"/>
    </w:pPr>
    <w:rPr>
      <w:kern w:val="2"/>
      <w:sz w:val="21"/>
      <w:szCs w:val="24"/>
    </w:rPr>
  </w:style>
  <w:style w:type="paragraph" w:customStyle="1" w:styleId="CharCharCharChar0">
    <w:name w:val="Char Char Char Char"/>
    <w:basedOn w:val="a"/>
    <w:pPr>
      <w:widowControl w:val="0"/>
      <w:jc w:val="both"/>
    </w:pPr>
    <w:rPr>
      <w:kern w:val="2"/>
      <w:sz w:val="21"/>
      <w:szCs w:val="24"/>
    </w:rPr>
  </w:style>
  <w:style w:type="paragraph" w:customStyle="1" w:styleId="af">
    <w:name w:val="字元"/>
    <w:basedOn w:val="a"/>
    <w:pPr>
      <w:widowControl w:val="0"/>
      <w:jc w:val="both"/>
    </w:pPr>
    <w:rPr>
      <w:kern w:val="2"/>
      <w:sz w:val="21"/>
      <w:szCs w:val="24"/>
    </w:rPr>
  </w:style>
  <w:style w:type="character" w:customStyle="1" w:styleId="af0">
    <w:name w:val="纯文本 字符"/>
    <w:rsid w:val="00D33E02"/>
    <w:rPr>
      <w:rFonts w:ascii="宋体" w:hAnsi="Courier New"/>
      <w:kern w:val="2"/>
      <w:sz w:val="21"/>
    </w:rPr>
  </w:style>
  <w:style w:type="character" w:styleId="af1">
    <w:name w:val="annotation reference"/>
    <w:rsid w:val="00281C14"/>
    <w:rPr>
      <w:sz w:val="21"/>
      <w:szCs w:val="21"/>
    </w:rPr>
  </w:style>
  <w:style w:type="paragraph" w:styleId="af2">
    <w:name w:val="annotation text"/>
    <w:basedOn w:val="a"/>
    <w:link w:val="Char5"/>
    <w:rsid w:val="00281C14"/>
  </w:style>
  <w:style w:type="character" w:customStyle="1" w:styleId="Char5">
    <w:name w:val="批注文字 Char"/>
    <w:basedOn w:val="a0"/>
    <w:link w:val="af2"/>
    <w:rsid w:val="00281C14"/>
  </w:style>
  <w:style w:type="paragraph" w:styleId="af3">
    <w:name w:val="annotation subject"/>
    <w:basedOn w:val="af2"/>
    <w:next w:val="af2"/>
    <w:link w:val="Char6"/>
    <w:rsid w:val="00281C14"/>
    <w:rPr>
      <w:b/>
      <w:bCs/>
    </w:rPr>
  </w:style>
  <w:style w:type="character" w:customStyle="1" w:styleId="Char6">
    <w:name w:val="批注主题 Char"/>
    <w:link w:val="af3"/>
    <w:rsid w:val="00281C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361</Words>
  <Characters>2064</Characters>
  <Application>Microsoft Office Word</Application>
  <DocSecurity>0</DocSecurity>
  <Lines>17</Lines>
  <Paragraphs>4</Paragraphs>
  <ScaleCrop>false</ScaleCrop>
  <Company>jujumao</Company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山东晨鸣纸业集团股份有限公司</dc:title>
  <dc:creator>张贤华</dc:creator>
  <cp:lastModifiedBy>ZXT</cp:lastModifiedBy>
  <cp:revision>4</cp:revision>
  <cp:lastPrinted>2021-02-18T06:39:00Z</cp:lastPrinted>
  <dcterms:created xsi:type="dcterms:W3CDTF">2024-07-31T01:29:00Z</dcterms:created>
  <dcterms:modified xsi:type="dcterms:W3CDTF">2024-07-31T08:45:00Z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FF632FCE84F344A6895A2199BF2C459C</vt:lpwstr>
  </property>
</Properties>
</file>