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26" w:rsidRPr="0007025E" w:rsidRDefault="003C0F26" w:rsidP="004E3E25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491AB6">
        <w:rPr>
          <w:rFonts w:ascii="宋体" w:hAnsi="宋体" w:hint="eastAsia"/>
          <w:b/>
          <w:sz w:val="32"/>
          <w:szCs w:val="32"/>
        </w:rPr>
        <w:t>山东晨鸣纸业集团股份有限公司独立董事</w:t>
      </w:r>
    </w:p>
    <w:p w:rsidR="008C5804" w:rsidRDefault="0016608A" w:rsidP="008C5804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</w:t>
      </w:r>
      <w:r w:rsidR="009A129A">
        <w:rPr>
          <w:rFonts w:ascii="宋体" w:hAnsi="宋体" w:hint="eastAsia"/>
          <w:b/>
          <w:sz w:val="32"/>
          <w:szCs w:val="32"/>
        </w:rPr>
        <w:t>第十届董事会第六次会议相关事项</w:t>
      </w:r>
      <w:r w:rsidR="00DC7C1F">
        <w:rPr>
          <w:rFonts w:ascii="宋体" w:hAnsi="宋体" w:hint="eastAsia"/>
          <w:b/>
          <w:sz w:val="32"/>
          <w:szCs w:val="32"/>
        </w:rPr>
        <w:t>的</w:t>
      </w:r>
    </w:p>
    <w:p w:rsidR="003C0F26" w:rsidRPr="00491AB6" w:rsidRDefault="00DC7C1F" w:rsidP="008C5804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专项说明和</w:t>
      </w:r>
      <w:r w:rsidR="003C0F26" w:rsidRPr="00491AB6">
        <w:rPr>
          <w:rFonts w:ascii="宋体" w:hAnsi="宋体" w:hint="eastAsia"/>
          <w:b/>
          <w:sz w:val="32"/>
          <w:szCs w:val="32"/>
        </w:rPr>
        <w:t>独立意见</w:t>
      </w:r>
    </w:p>
    <w:p w:rsidR="009A129A" w:rsidRDefault="009A129A" w:rsidP="00B0224D">
      <w:pPr>
        <w:spacing w:line="420" w:lineRule="exact"/>
        <w:ind w:firstLineChars="200" w:firstLine="480"/>
        <w:rPr>
          <w:kern w:val="0"/>
          <w:sz w:val="24"/>
        </w:rPr>
      </w:pPr>
      <w:r w:rsidRPr="00DF3F19">
        <w:rPr>
          <w:kern w:val="0"/>
          <w:sz w:val="24"/>
        </w:rPr>
        <w:t>山东晨鸣纸业集团股份有限公司（以下简</w:t>
      </w:r>
      <w:r w:rsidRPr="00B0224D">
        <w:rPr>
          <w:rFonts w:asciiTheme="minorEastAsia" w:eastAsiaTheme="minorEastAsia" w:hAnsiTheme="minorEastAsia"/>
          <w:kern w:val="0"/>
          <w:sz w:val="24"/>
        </w:rPr>
        <w:t>称“公司”</w:t>
      </w:r>
      <w:r w:rsidRPr="00DF3F19">
        <w:rPr>
          <w:kern w:val="0"/>
          <w:sz w:val="24"/>
        </w:rPr>
        <w:t>）第</w:t>
      </w:r>
      <w:r>
        <w:rPr>
          <w:kern w:val="0"/>
          <w:sz w:val="24"/>
        </w:rPr>
        <w:t>十届</w:t>
      </w:r>
      <w:r w:rsidRPr="00DF3F19">
        <w:rPr>
          <w:kern w:val="0"/>
          <w:sz w:val="24"/>
        </w:rPr>
        <w:t>董事会第</w:t>
      </w:r>
      <w:r>
        <w:rPr>
          <w:rFonts w:hint="eastAsia"/>
          <w:kern w:val="0"/>
          <w:sz w:val="24"/>
        </w:rPr>
        <w:t>六</w:t>
      </w:r>
      <w:r>
        <w:rPr>
          <w:kern w:val="0"/>
          <w:sz w:val="24"/>
        </w:rPr>
        <w:t>次</w:t>
      </w:r>
      <w:r w:rsidRPr="00DF3F19">
        <w:rPr>
          <w:kern w:val="0"/>
          <w:sz w:val="24"/>
        </w:rPr>
        <w:t>会议（以下简称</w:t>
      </w:r>
      <w:r w:rsidRPr="00A0180D">
        <w:rPr>
          <w:rFonts w:ascii="宋体" w:hAnsi="宋体"/>
          <w:kern w:val="0"/>
          <w:sz w:val="24"/>
        </w:rPr>
        <w:t>“本次会议”</w:t>
      </w:r>
      <w:r w:rsidRPr="00DF3F19">
        <w:rPr>
          <w:kern w:val="0"/>
          <w:sz w:val="24"/>
        </w:rPr>
        <w:t>）于</w:t>
      </w:r>
      <w:r>
        <w:rPr>
          <w:rFonts w:hint="eastAsia"/>
          <w:kern w:val="0"/>
          <w:sz w:val="24"/>
        </w:rPr>
        <w:t>2023</w:t>
      </w:r>
      <w:r w:rsidRPr="00DF3F19">
        <w:rPr>
          <w:kern w:val="0"/>
          <w:sz w:val="24"/>
        </w:rPr>
        <w:t xml:space="preserve"> </w:t>
      </w:r>
      <w:r w:rsidRPr="00DF3F19"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 w:rsidRPr="00DF3F19">
        <w:rPr>
          <w:kern w:val="0"/>
          <w:sz w:val="24"/>
        </w:rPr>
        <w:t>月</w:t>
      </w:r>
      <w:r w:rsidRPr="00DF3F19">
        <w:rPr>
          <w:kern w:val="0"/>
          <w:sz w:val="24"/>
        </w:rPr>
        <w:t>30</w:t>
      </w:r>
      <w:r w:rsidRPr="00DF3F19">
        <w:rPr>
          <w:kern w:val="0"/>
          <w:sz w:val="24"/>
        </w:rPr>
        <w:t>日召开。根据《</w:t>
      </w:r>
      <w:r w:rsidRPr="002B0E07">
        <w:rPr>
          <w:rFonts w:hint="eastAsia"/>
          <w:kern w:val="0"/>
          <w:sz w:val="24"/>
        </w:rPr>
        <w:t>上市公司独立董事规则</w:t>
      </w:r>
      <w:r w:rsidRPr="00DF3F19">
        <w:rPr>
          <w:kern w:val="0"/>
          <w:sz w:val="24"/>
        </w:rPr>
        <w:t>》、《深圳证券交易所上市公司规范运作指引》及《公司章程》等有关规定，我们作为公司的独立董事，基于独立判断的立场，就本次会议审议的相关事项</w:t>
      </w:r>
      <w:r>
        <w:rPr>
          <w:rFonts w:hint="eastAsia"/>
          <w:kern w:val="0"/>
          <w:sz w:val="24"/>
        </w:rPr>
        <w:t>进行了认真核查，</w:t>
      </w:r>
      <w:r w:rsidR="008C5804">
        <w:rPr>
          <w:rFonts w:hint="eastAsia"/>
          <w:kern w:val="0"/>
          <w:sz w:val="24"/>
        </w:rPr>
        <w:t>并发表了专项说明及独立意见</w:t>
      </w:r>
      <w:r w:rsidRPr="00DF3F19">
        <w:rPr>
          <w:kern w:val="0"/>
          <w:sz w:val="24"/>
        </w:rPr>
        <w:t>。</w:t>
      </w:r>
    </w:p>
    <w:p w:rsidR="008C5804" w:rsidRPr="008C5804" w:rsidRDefault="008C5804" w:rsidP="008C5804">
      <w:pPr>
        <w:spacing w:line="420" w:lineRule="exact"/>
        <w:ind w:firstLineChars="200" w:firstLine="482"/>
        <w:rPr>
          <w:b/>
          <w:kern w:val="0"/>
          <w:sz w:val="24"/>
        </w:rPr>
      </w:pPr>
      <w:r w:rsidRPr="008C5804">
        <w:rPr>
          <w:rFonts w:hint="eastAsia"/>
          <w:b/>
          <w:kern w:val="0"/>
          <w:sz w:val="24"/>
        </w:rPr>
        <w:t>一、关于控股股东及其他关联方占用资金、对外担保的专项说明和独立意见</w:t>
      </w:r>
    </w:p>
    <w:p w:rsidR="00300A8E" w:rsidRPr="003C3915" w:rsidRDefault="008C5804" w:rsidP="00300A8E">
      <w:pPr>
        <w:widowControl/>
        <w:spacing w:line="42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作为公司</w:t>
      </w:r>
      <w:r w:rsidR="00300A8E" w:rsidRPr="003C3915">
        <w:rPr>
          <w:rFonts w:hAnsi="宋体"/>
          <w:sz w:val="24"/>
        </w:rPr>
        <w:t>的独立董事，我们对公司</w:t>
      </w:r>
      <w:r w:rsidR="005D3894">
        <w:rPr>
          <w:sz w:val="24"/>
        </w:rPr>
        <w:t>2023</w:t>
      </w:r>
      <w:r w:rsidR="005D3894">
        <w:rPr>
          <w:sz w:val="24"/>
        </w:rPr>
        <w:t>年</w:t>
      </w:r>
      <w:r w:rsidR="00300A8E" w:rsidRPr="003C3915">
        <w:rPr>
          <w:rFonts w:hAnsi="宋体"/>
          <w:sz w:val="24"/>
        </w:rPr>
        <w:t>上半年当期及累计发生的控股股东及其他关联方占用资金、对外担保情况</w:t>
      </w:r>
      <w:r w:rsidR="00300A8E">
        <w:rPr>
          <w:rFonts w:hAnsi="宋体" w:hint="eastAsia"/>
          <w:sz w:val="24"/>
        </w:rPr>
        <w:t>进行了认真核查，现</w:t>
      </w:r>
      <w:r w:rsidR="00300A8E" w:rsidRPr="003C3915">
        <w:rPr>
          <w:rFonts w:hAnsi="宋体"/>
          <w:sz w:val="24"/>
        </w:rPr>
        <w:t>发表以下</w:t>
      </w:r>
      <w:r w:rsidR="00300A8E">
        <w:rPr>
          <w:rFonts w:hAnsi="宋体" w:hint="eastAsia"/>
          <w:sz w:val="24"/>
        </w:rPr>
        <w:t>专项说明和</w:t>
      </w:r>
      <w:r w:rsidR="00300A8E" w:rsidRPr="003C3915">
        <w:rPr>
          <w:rFonts w:hAnsi="宋体"/>
          <w:sz w:val="24"/>
        </w:rPr>
        <w:t>独立意见：</w:t>
      </w:r>
    </w:p>
    <w:p w:rsidR="00300A8E" w:rsidRDefault="00300A8E" w:rsidP="00300A8E">
      <w:pPr>
        <w:widowControl/>
        <w:spacing w:line="420" w:lineRule="exact"/>
        <w:ind w:firstLineChars="200" w:firstLine="480"/>
        <w:rPr>
          <w:rFonts w:hAnsi="宋体"/>
          <w:sz w:val="24"/>
        </w:rPr>
      </w:pPr>
      <w:r w:rsidRPr="004D28CE">
        <w:rPr>
          <w:sz w:val="24"/>
        </w:rPr>
        <w:t>1</w:t>
      </w:r>
      <w:r w:rsidRPr="004D28CE">
        <w:rPr>
          <w:rFonts w:hAnsi="宋体"/>
          <w:sz w:val="24"/>
        </w:rPr>
        <w:t>、</w:t>
      </w:r>
      <w:r w:rsidRPr="00EC1CA8">
        <w:rPr>
          <w:rFonts w:hAnsi="宋体" w:hint="eastAsia"/>
          <w:sz w:val="24"/>
        </w:rPr>
        <w:t>关于控股股东及其他关联方占用公司资金的情况</w:t>
      </w:r>
    </w:p>
    <w:p w:rsidR="00300A8E" w:rsidRDefault="00300A8E" w:rsidP="00300A8E">
      <w:pPr>
        <w:widowControl/>
        <w:spacing w:line="420" w:lineRule="exact"/>
        <w:ind w:firstLineChars="200" w:firstLine="480"/>
        <w:rPr>
          <w:rFonts w:hAnsi="宋体"/>
          <w:sz w:val="24"/>
        </w:rPr>
      </w:pPr>
      <w:r w:rsidRPr="00312383">
        <w:rPr>
          <w:rFonts w:hAnsi="宋体" w:hint="eastAsia"/>
          <w:sz w:val="24"/>
        </w:rPr>
        <w:t>报告期内，</w:t>
      </w:r>
      <w:r>
        <w:rPr>
          <w:rFonts w:hAnsi="宋体" w:hint="eastAsia"/>
          <w:sz w:val="24"/>
        </w:rPr>
        <w:t>公司</w:t>
      </w:r>
      <w:r w:rsidRPr="00312383">
        <w:rPr>
          <w:rFonts w:hAnsi="宋体" w:hint="eastAsia"/>
          <w:sz w:val="24"/>
        </w:rPr>
        <w:t>控股股东及其他关联方未发生</w:t>
      </w:r>
      <w:r>
        <w:rPr>
          <w:rFonts w:hAnsi="宋体" w:hint="eastAsia"/>
          <w:sz w:val="24"/>
        </w:rPr>
        <w:t>违规或以其他方式变相占用公司资金</w:t>
      </w:r>
      <w:r w:rsidRPr="00312383">
        <w:rPr>
          <w:rFonts w:hAnsi="宋体" w:hint="eastAsia"/>
          <w:sz w:val="24"/>
        </w:rPr>
        <w:t>的情形，也不存在以前期间发生</w:t>
      </w:r>
      <w:r>
        <w:rPr>
          <w:rFonts w:hAnsi="宋体" w:hint="eastAsia"/>
          <w:sz w:val="24"/>
        </w:rPr>
        <w:t>并累积至</w:t>
      </w:r>
      <w:r w:rsidR="005D3894">
        <w:rPr>
          <w:rFonts w:hAnsi="宋体" w:hint="eastAsia"/>
          <w:sz w:val="24"/>
        </w:rPr>
        <w:t>2023</w:t>
      </w:r>
      <w:r w:rsidR="005D3894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日</w:t>
      </w:r>
      <w:r w:rsidRPr="00312383">
        <w:rPr>
          <w:rFonts w:hAnsi="宋体" w:hint="eastAsia"/>
          <w:sz w:val="24"/>
        </w:rPr>
        <w:t>的违规占用情况</w:t>
      </w:r>
      <w:r>
        <w:rPr>
          <w:rFonts w:hAnsi="宋体" w:hint="eastAsia"/>
          <w:sz w:val="24"/>
        </w:rPr>
        <w:t>，未</w:t>
      </w:r>
      <w:r w:rsidRPr="00E95BE4">
        <w:rPr>
          <w:rFonts w:hAnsi="宋体" w:hint="eastAsia"/>
          <w:sz w:val="24"/>
        </w:rPr>
        <w:t>损害公司及</w:t>
      </w:r>
      <w:r>
        <w:rPr>
          <w:rFonts w:hAnsi="宋体" w:hint="eastAsia"/>
          <w:sz w:val="24"/>
        </w:rPr>
        <w:t>公司全体</w:t>
      </w:r>
      <w:r w:rsidRPr="00E95BE4">
        <w:rPr>
          <w:rFonts w:hAnsi="宋体" w:hint="eastAsia"/>
          <w:sz w:val="24"/>
        </w:rPr>
        <w:t>股东</w:t>
      </w:r>
      <w:r>
        <w:rPr>
          <w:rFonts w:hAnsi="宋体" w:hint="eastAsia"/>
          <w:sz w:val="24"/>
        </w:rPr>
        <w:t>的</w:t>
      </w:r>
      <w:r w:rsidRPr="00E95BE4">
        <w:rPr>
          <w:rFonts w:hAnsi="宋体" w:hint="eastAsia"/>
          <w:sz w:val="24"/>
        </w:rPr>
        <w:t>利益。</w:t>
      </w:r>
    </w:p>
    <w:p w:rsidR="00300A8E" w:rsidRDefault="00300A8E" w:rsidP="00300A8E">
      <w:pPr>
        <w:widowControl/>
        <w:spacing w:line="420" w:lineRule="exact"/>
        <w:ind w:firstLineChars="200" w:firstLine="480"/>
        <w:rPr>
          <w:rFonts w:hAnsi="宋体"/>
          <w:sz w:val="24"/>
        </w:rPr>
      </w:pPr>
      <w:r w:rsidRPr="004D28CE">
        <w:rPr>
          <w:sz w:val="24"/>
        </w:rPr>
        <w:t>2</w:t>
      </w:r>
      <w:r w:rsidRPr="004D28CE">
        <w:rPr>
          <w:rFonts w:hAnsi="宋体"/>
          <w:sz w:val="24"/>
        </w:rPr>
        <w:t>、</w:t>
      </w:r>
      <w:r w:rsidRPr="00EC1CA8">
        <w:rPr>
          <w:rFonts w:hAnsi="宋体" w:hint="eastAsia"/>
          <w:sz w:val="24"/>
        </w:rPr>
        <w:t>关于公司</w:t>
      </w:r>
      <w:r w:rsidR="005D3894">
        <w:rPr>
          <w:rFonts w:hAnsi="宋体" w:hint="eastAsia"/>
          <w:sz w:val="24"/>
        </w:rPr>
        <w:t>2023</w:t>
      </w:r>
      <w:r w:rsidR="005D3894">
        <w:rPr>
          <w:rFonts w:hAnsi="宋体" w:hint="eastAsia"/>
          <w:sz w:val="24"/>
        </w:rPr>
        <w:t>年</w:t>
      </w:r>
      <w:r w:rsidRPr="00EC1CA8">
        <w:rPr>
          <w:rFonts w:hAnsi="宋体" w:hint="eastAsia"/>
          <w:sz w:val="24"/>
        </w:rPr>
        <w:t>半年度对外担保的情况</w:t>
      </w:r>
    </w:p>
    <w:p w:rsidR="00300A8E" w:rsidRPr="00312383" w:rsidRDefault="00300A8E" w:rsidP="00300A8E">
      <w:pPr>
        <w:widowControl/>
        <w:spacing w:line="420" w:lineRule="exact"/>
        <w:ind w:firstLineChars="200" w:firstLine="480"/>
        <w:rPr>
          <w:sz w:val="24"/>
        </w:rPr>
      </w:pPr>
      <w:r w:rsidRPr="0055228F">
        <w:rPr>
          <w:rFonts w:hAnsi="宋体"/>
          <w:sz w:val="24"/>
        </w:rPr>
        <w:t>报告期内，</w:t>
      </w:r>
      <w:r w:rsidR="005D3894" w:rsidRPr="0055228F">
        <w:rPr>
          <w:rFonts w:hAnsi="宋体" w:hint="eastAsia"/>
          <w:sz w:val="24"/>
        </w:rPr>
        <w:t>公司为合并报表范围内子公司提供担保</w:t>
      </w:r>
      <w:r w:rsidR="00352705" w:rsidRPr="0055228F">
        <w:rPr>
          <w:rFonts w:hAnsi="宋体" w:hint="eastAsia"/>
          <w:sz w:val="24"/>
        </w:rPr>
        <w:t>的</w:t>
      </w:r>
      <w:r w:rsidR="005D3894" w:rsidRPr="0055228F">
        <w:rPr>
          <w:rFonts w:hAnsi="宋体" w:hint="eastAsia"/>
          <w:sz w:val="24"/>
        </w:rPr>
        <w:t>发生额为人民币</w:t>
      </w:r>
      <w:r w:rsidR="00E251AE">
        <w:rPr>
          <w:rFonts w:hAnsi="宋体"/>
          <w:sz w:val="24"/>
        </w:rPr>
        <w:t>75</w:t>
      </w:r>
      <w:r w:rsidR="00E251AE">
        <w:rPr>
          <w:rFonts w:hAnsi="宋体" w:hint="eastAsia"/>
          <w:sz w:val="24"/>
        </w:rPr>
        <w:t>3</w:t>
      </w:r>
      <w:bookmarkStart w:id="0" w:name="_GoBack"/>
      <w:bookmarkEnd w:id="0"/>
      <w:r w:rsidR="005D3894" w:rsidRPr="0055228F">
        <w:rPr>
          <w:rFonts w:hAnsi="宋体" w:hint="eastAsia"/>
          <w:sz w:val="24"/>
        </w:rPr>
        <w:t>,</w:t>
      </w:r>
      <w:r w:rsidR="005D3894" w:rsidRPr="0055228F">
        <w:rPr>
          <w:rFonts w:hAnsi="宋体"/>
          <w:sz w:val="24"/>
        </w:rPr>
        <w:t>505.69</w:t>
      </w:r>
      <w:r w:rsidR="005D3894" w:rsidRPr="0055228F">
        <w:rPr>
          <w:rFonts w:hAnsi="宋体" w:hint="eastAsia"/>
          <w:sz w:val="24"/>
        </w:rPr>
        <w:t>万元</w:t>
      </w:r>
      <w:r w:rsidRPr="0055228F">
        <w:rPr>
          <w:rFonts w:hAnsi="宋体"/>
          <w:sz w:val="24"/>
        </w:rPr>
        <w:t>。截</w:t>
      </w:r>
      <w:r w:rsidRPr="0055228F">
        <w:rPr>
          <w:rFonts w:hAnsi="宋体" w:hint="eastAsia"/>
          <w:sz w:val="24"/>
        </w:rPr>
        <w:t>至</w:t>
      </w:r>
      <w:r w:rsidR="005D3894" w:rsidRPr="0055228F">
        <w:rPr>
          <w:rFonts w:hAnsi="宋体"/>
          <w:sz w:val="24"/>
        </w:rPr>
        <w:t>2023</w:t>
      </w:r>
      <w:r w:rsidR="005D3894" w:rsidRPr="0055228F">
        <w:rPr>
          <w:rFonts w:hAnsi="宋体"/>
          <w:sz w:val="24"/>
        </w:rPr>
        <w:t>年</w:t>
      </w:r>
      <w:r w:rsidRPr="0055228F">
        <w:rPr>
          <w:rFonts w:hAnsi="宋体"/>
          <w:sz w:val="24"/>
        </w:rPr>
        <w:t>6</w:t>
      </w:r>
      <w:r w:rsidRPr="0055228F">
        <w:rPr>
          <w:rFonts w:hAnsi="宋体"/>
          <w:sz w:val="24"/>
        </w:rPr>
        <w:t>月</w:t>
      </w:r>
      <w:r w:rsidRPr="0055228F">
        <w:rPr>
          <w:rFonts w:hAnsi="宋体"/>
          <w:sz w:val="24"/>
        </w:rPr>
        <w:t>30</w:t>
      </w:r>
      <w:r w:rsidRPr="0055228F">
        <w:rPr>
          <w:rFonts w:hAnsi="宋体"/>
          <w:sz w:val="24"/>
        </w:rPr>
        <w:t>日</w:t>
      </w:r>
      <w:r w:rsidRPr="0055228F">
        <w:rPr>
          <w:rFonts w:hAnsi="宋体" w:hint="eastAsia"/>
          <w:sz w:val="24"/>
        </w:rPr>
        <w:t>，</w:t>
      </w:r>
      <w:r w:rsidRPr="0055228F">
        <w:rPr>
          <w:rFonts w:hAnsi="宋体"/>
          <w:sz w:val="24"/>
        </w:rPr>
        <w:t>公司对外提供担保余额为人民币</w:t>
      </w:r>
      <w:r w:rsidR="00D50D1F" w:rsidRPr="0055228F">
        <w:rPr>
          <w:rFonts w:hAnsi="宋体"/>
          <w:sz w:val="24"/>
        </w:rPr>
        <w:t>1</w:t>
      </w:r>
      <w:r w:rsidR="00D50D1F" w:rsidRPr="0055228F">
        <w:rPr>
          <w:rFonts w:hAnsi="宋体" w:hint="eastAsia"/>
          <w:sz w:val="24"/>
        </w:rPr>
        <w:t>,</w:t>
      </w:r>
      <w:r w:rsidR="00D50D1F" w:rsidRPr="0055228F">
        <w:rPr>
          <w:rFonts w:hAnsi="宋体"/>
          <w:sz w:val="24"/>
        </w:rPr>
        <w:t>244</w:t>
      </w:r>
      <w:r w:rsidR="00D50D1F" w:rsidRPr="0055228F">
        <w:rPr>
          <w:rFonts w:hAnsi="宋体" w:hint="eastAsia"/>
          <w:sz w:val="24"/>
        </w:rPr>
        <w:t>,</w:t>
      </w:r>
      <w:r w:rsidR="00D50D1F" w:rsidRPr="0055228F">
        <w:rPr>
          <w:rFonts w:hAnsi="宋体"/>
          <w:sz w:val="24"/>
        </w:rPr>
        <w:t>665.27</w:t>
      </w:r>
      <w:r w:rsidR="00D50D1F" w:rsidRPr="0055228F">
        <w:rPr>
          <w:rFonts w:hAnsi="宋体" w:hint="eastAsia"/>
          <w:sz w:val="24"/>
        </w:rPr>
        <w:t>万元</w:t>
      </w:r>
      <w:r w:rsidRPr="0055228F">
        <w:rPr>
          <w:rFonts w:hAnsi="宋体"/>
          <w:sz w:val="24"/>
        </w:rPr>
        <w:t>，占</w:t>
      </w:r>
      <w:r w:rsidR="005D3894" w:rsidRPr="0055228F">
        <w:rPr>
          <w:rFonts w:hAnsi="宋体"/>
          <w:sz w:val="24"/>
        </w:rPr>
        <w:t>2023</w:t>
      </w:r>
      <w:r w:rsidR="005D3894" w:rsidRPr="0055228F">
        <w:rPr>
          <w:rFonts w:hAnsi="宋体"/>
          <w:sz w:val="24"/>
        </w:rPr>
        <w:t>年</w:t>
      </w:r>
      <w:r w:rsidRPr="0055228F">
        <w:rPr>
          <w:rFonts w:hAnsi="宋体"/>
          <w:sz w:val="24"/>
        </w:rPr>
        <w:t>6</w:t>
      </w:r>
      <w:r w:rsidRPr="0055228F">
        <w:rPr>
          <w:rFonts w:hAnsi="宋体"/>
          <w:sz w:val="24"/>
        </w:rPr>
        <w:t>月</w:t>
      </w:r>
      <w:r w:rsidRPr="0055228F">
        <w:rPr>
          <w:rFonts w:hAnsi="宋体" w:hint="eastAsia"/>
          <w:sz w:val="24"/>
        </w:rPr>
        <w:t>末</w:t>
      </w:r>
      <w:r w:rsidRPr="0055228F">
        <w:rPr>
          <w:rFonts w:hAnsi="宋体"/>
          <w:sz w:val="24"/>
        </w:rPr>
        <w:t>归属于母公司股东权益的比例为</w:t>
      </w:r>
      <w:r w:rsidR="00D50D1F" w:rsidRPr="0055228F">
        <w:rPr>
          <w:rFonts w:hAnsi="宋体" w:hint="eastAsia"/>
          <w:sz w:val="24"/>
        </w:rPr>
        <w:t>68.06</w:t>
      </w:r>
      <w:r w:rsidRPr="0055228F">
        <w:rPr>
          <w:rFonts w:hAnsi="宋体"/>
          <w:sz w:val="24"/>
        </w:rPr>
        <w:t>%</w:t>
      </w:r>
      <w:r w:rsidR="00465E3D">
        <w:rPr>
          <w:rFonts w:hAnsi="宋体" w:hint="eastAsia"/>
          <w:sz w:val="24"/>
        </w:rPr>
        <w:t>，其中，公司对合并报表范围外</w:t>
      </w:r>
      <w:r w:rsidR="002C2DFB">
        <w:rPr>
          <w:rFonts w:hAnsi="宋体" w:hint="eastAsia"/>
          <w:sz w:val="24"/>
        </w:rPr>
        <w:t>单位</w:t>
      </w:r>
      <w:r w:rsidR="00D50D1F" w:rsidRPr="0055228F">
        <w:rPr>
          <w:rFonts w:hAnsi="宋体" w:hint="eastAsia"/>
          <w:sz w:val="24"/>
        </w:rPr>
        <w:t>提供担保余额为人民币</w:t>
      </w:r>
      <w:r w:rsidR="00D50D1F" w:rsidRPr="0055228F">
        <w:rPr>
          <w:rFonts w:hAnsi="宋体"/>
          <w:sz w:val="24"/>
        </w:rPr>
        <w:t>85,078.19</w:t>
      </w:r>
      <w:r w:rsidR="00D50D1F" w:rsidRPr="0055228F">
        <w:rPr>
          <w:rFonts w:hAnsi="宋体" w:hint="eastAsia"/>
          <w:sz w:val="24"/>
        </w:rPr>
        <w:t>万元，对合并报表范围内子公司提供担保余额为人民币</w:t>
      </w:r>
      <w:r w:rsidR="00D50D1F" w:rsidRPr="0055228F">
        <w:rPr>
          <w:rFonts w:hAnsi="宋体"/>
          <w:sz w:val="24"/>
        </w:rPr>
        <w:t>1,159,587.08</w:t>
      </w:r>
      <w:r w:rsidR="00D50D1F" w:rsidRPr="0055228F">
        <w:rPr>
          <w:rFonts w:hAnsi="宋体" w:hint="eastAsia"/>
          <w:sz w:val="24"/>
        </w:rPr>
        <w:t>万元</w:t>
      </w:r>
      <w:r w:rsidRPr="0055228F">
        <w:rPr>
          <w:rFonts w:hAnsi="宋体"/>
          <w:sz w:val="24"/>
        </w:rPr>
        <w:t>。</w:t>
      </w:r>
    </w:p>
    <w:p w:rsidR="00C65E58" w:rsidRDefault="00C65E58" w:rsidP="00C65E58">
      <w:pPr>
        <w:spacing w:line="420" w:lineRule="exact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经核查，</w:t>
      </w:r>
      <w:r w:rsidRPr="00491AB6">
        <w:rPr>
          <w:rFonts w:ascii="宋体" w:hAnsi="宋体" w:cs="Arial" w:hint="eastAsia"/>
          <w:sz w:val="24"/>
        </w:rPr>
        <w:t>报告期内</w:t>
      </w:r>
      <w:r>
        <w:rPr>
          <w:rFonts w:ascii="宋体" w:hAnsi="宋体" w:cs="Arial" w:hint="eastAsia"/>
          <w:sz w:val="24"/>
        </w:rPr>
        <w:t>，</w:t>
      </w:r>
      <w:r w:rsidRPr="00491AB6">
        <w:rPr>
          <w:rFonts w:ascii="宋体" w:hAnsi="宋体" w:cs="Arial" w:hint="eastAsia"/>
          <w:sz w:val="24"/>
        </w:rPr>
        <w:t>公司能够严格按照</w:t>
      </w:r>
      <w:r w:rsidRPr="00DC7C1F">
        <w:rPr>
          <w:rFonts w:hAnsi="宋体" w:hint="eastAsia"/>
          <w:sz w:val="24"/>
        </w:rPr>
        <w:t>《上市公司监管指引第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号—上市公司资金往来、对外担保的监管要求》</w:t>
      </w:r>
      <w:r w:rsidRPr="00491AB6">
        <w:rPr>
          <w:rFonts w:ascii="宋体" w:hAnsi="宋体" w:cs="Arial" w:hint="eastAsia"/>
          <w:sz w:val="24"/>
        </w:rPr>
        <w:t>和《公司章程》等有关规定，认真履行对外担保情况的</w:t>
      </w:r>
      <w:r>
        <w:rPr>
          <w:rFonts w:ascii="宋体" w:hAnsi="宋体" w:cs="Arial" w:hint="eastAsia"/>
          <w:sz w:val="24"/>
        </w:rPr>
        <w:t>审批程序，</w:t>
      </w:r>
      <w:r w:rsidRPr="00491AB6">
        <w:rPr>
          <w:rFonts w:ascii="宋体" w:hAnsi="宋体" w:cs="Arial" w:hint="eastAsia"/>
          <w:sz w:val="24"/>
        </w:rPr>
        <w:t>担保决策程序合法，</w:t>
      </w:r>
      <w:r>
        <w:rPr>
          <w:rFonts w:ascii="宋体" w:hAnsi="宋体" w:cs="Arial" w:hint="eastAsia"/>
          <w:sz w:val="24"/>
        </w:rPr>
        <w:t>无逾期担保和违规担保</w:t>
      </w:r>
      <w:r w:rsidRPr="001A4545">
        <w:rPr>
          <w:rFonts w:ascii="宋体" w:hAnsi="宋体" w:cs="Arial" w:hint="eastAsia"/>
          <w:sz w:val="24"/>
        </w:rPr>
        <w:t>情况</w:t>
      </w:r>
      <w:r>
        <w:rPr>
          <w:rFonts w:ascii="宋体" w:hAnsi="宋体" w:cs="Arial" w:hint="eastAsia"/>
          <w:sz w:val="24"/>
        </w:rPr>
        <w:t>，</w:t>
      </w:r>
      <w:r w:rsidRPr="001A4545">
        <w:rPr>
          <w:rFonts w:ascii="宋体" w:hAnsi="宋体" w:cs="Arial" w:hint="eastAsia"/>
          <w:sz w:val="24"/>
        </w:rPr>
        <w:t>不存在损害公司及全体股东特别是中小股东利益的</w:t>
      </w:r>
      <w:r>
        <w:rPr>
          <w:rFonts w:ascii="宋体" w:hAnsi="宋体" w:cs="Arial" w:hint="eastAsia"/>
          <w:sz w:val="24"/>
        </w:rPr>
        <w:t>情形</w:t>
      </w:r>
      <w:r w:rsidRPr="001A4545">
        <w:rPr>
          <w:rFonts w:ascii="宋体" w:hAnsi="宋体" w:cs="Arial" w:hint="eastAsia"/>
          <w:sz w:val="24"/>
        </w:rPr>
        <w:t>。</w:t>
      </w:r>
    </w:p>
    <w:p w:rsidR="008C5804" w:rsidRPr="008C5804" w:rsidRDefault="008C5804" w:rsidP="008C5804">
      <w:pPr>
        <w:spacing w:line="420" w:lineRule="exact"/>
        <w:ind w:firstLineChars="200" w:firstLine="482"/>
        <w:rPr>
          <w:rFonts w:ascii="宋体" w:hAnsi="宋体" w:cs="Arial"/>
          <w:b/>
          <w:sz w:val="24"/>
        </w:rPr>
      </w:pPr>
      <w:r w:rsidRPr="008C5804">
        <w:rPr>
          <w:rFonts w:ascii="宋体" w:hAnsi="宋体" w:cs="Arial" w:hint="eastAsia"/>
          <w:b/>
          <w:sz w:val="24"/>
        </w:rPr>
        <w:t>二、关于</w:t>
      </w:r>
      <w:r w:rsidRPr="008C5804">
        <w:rPr>
          <w:b/>
          <w:sz w:val="24"/>
        </w:rPr>
        <w:t>计提</w:t>
      </w:r>
      <w:r w:rsidRPr="008C5804">
        <w:rPr>
          <w:b/>
          <w:sz w:val="24"/>
        </w:rPr>
        <w:t>2023</w:t>
      </w:r>
      <w:r w:rsidRPr="008C5804">
        <w:rPr>
          <w:b/>
          <w:sz w:val="24"/>
        </w:rPr>
        <w:t>年半</w:t>
      </w:r>
      <w:r w:rsidRPr="008C5804">
        <w:rPr>
          <w:rFonts w:ascii="宋体" w:hAnsi="宋体" w:cs="Arial" w:hint="eastAsia"/>
          <w:b/>
          <w:sz w:val="24"/>
        </w:rPr>
        <w:t>年度资产减值准备的独立意见</w:t>
      </w:r>
    </w:p>
    <w:p w:rsidR="008C5804" w:rsidRPr="003C3915" w:rsidRDefault="008C5804" w:rsidP="008C5804">
      <w:pPr>
        <w:widowControl/>
        <w:spacing w:line="420" w:lineRule="exact"/>
        <w:ind w:firstLineChars="200" w:firstLine="480"/>
        <w:rPr>
          <w:sz w:val="24"/>
        </w:rPr>
      </w:pPr>
      <w:r>
        <w:rPr>
          <w:rFonts w:ascii="宋体" w:hAnsi="宋体" w:cs="Arial" w:hint="eastAsia"/>
          <w:sz w:val="24"/>
        </w:rPr>
        <w:t>作为公司的独立董事，我们对</w:t>
      </w:r>
      <w:r>
        <w:rPr>
          <w:rFonts w:hAnsi="宋体" w:hint="eastAsia"/>
          <w:sz w:val="24"/>
        </w:rPr>
        <w:t>公司计提</w:t>
      </w:r>
      <w:r>
        <w:rPr>
          <w:rFonts w:hAnsi="宋体" w:hint="eastAsia"/>
          <w:sz w:val="24"/>
        </w:rPr>
        <w:t>2023</w:t>
      </w:r>
      <w:r>
        <w:rPr>
          <w:rFonts w:hAnsi="宋体" w:hint="eastAsia"/>
          <w:sz w:val="24"/>
        </w:rPr>
        <w:t>年半年度资产减值准备事项发表</w:t>
      </w:r>
      <w:r w:rsidRPr="003C3915">
        <w:rPr>
          <w:rFonts w:hAnsi="宋体"/>
          <w:sz w:val="24"/>
        </w:rPr>
        <w:t>独立意见</w:t>
      </w:r>
      <w:r>
        <w:rPr>
          <w:rFonts w:hAnsi="宋体" w:hint="eastAsia"/>
          <w:sz w:val="24"/>
        </w:rPr>
        <w:t>如下</w:t>
      </w:r>
      <w:r w:rsidRPr="003C3915">
        <w:rPr>
          <w:rFonts w:hAnsi="宋体"/>
          <w:sz w:val="24"/>
        </w:rPr>
        <w:t>：</w:t>
      </w:r>
    </w:p>
    <w:p w:rsidR="008C5804" w:rsidRDefault="008C5804" w:rsidP="008C5804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公司本次计提资产减值准备</w:t>
      </w:r>
      <w:r w:rsidRPr="00CE267F">
        <w:rPr>
          <w:sz w:val="24"/>
        </w:rPr>
        <w:t>符合《企业会计准则》和公司相关制度的规定，</w:t>
      </w:r>
      <w:r>
        <w:rPr>
          <w:rFonts w:hint="eastAsia"/>
          <w:sz w:val="24"/>
        </w:rPr>
        <w:t>计提依据充分，能</w:t>
      </w:r>
      <w:r w:rsidRPr="009815C6">
        <w:rPr>
          <w:rFonts w:hint="eastAsia"/>
          <w:sz w:val="24"/>
        </w:rPr>
        <w:t>更加公允地反映公司的财务状况和经营成果</w:t>
      </w:r>
      <w:r>
        <w:rPr>
          <w:rFonts w:hint="eastAsia"/>
          <w:sz w:val="24"/>
        </w:rPr>
        <w:t>，有助于</w:t>
      </w:r>
      <w:r w:rsidRPr="009815C6">
        <w:rPr>
          <w:rFonts w:hint="eastAsia"/>
          <w:sz w:val="24"/>
        </w:rPr>
        <w:t>向投资者提供更加</w:t>
      </w:r>
      <w:r w:rsidRPr="00814EB9">
        <w:rPr>
          <w:rFonts w:hint="eastAsia"/>
          <w:sz w:val="24"/>
        </w:rPr>
        <w:t>真实、可靠、准确</w:t>
      </w:r>
      <w:r w:rsidRPr="009815C6">
        <w:rPr>
          <w:rFonts w:hint="eastAsia"/>
          <w:sz w:val="24"/>
        </w:rPr>
        <w:t>的会计信息</w:t>
      </w:r>
      <w:r>
        <w:rPr>
          <w:rFonts w:hint="eastAsia"/>
          <w:sz w:val="24"/>
        </w:rPr>
        <w:t>。本次审议程序合法</w:t>
      </w:r>
      <w:r w:rsidR="00901457">
        <w:rPr>
          <w:rFonts w:hint="eastAsia"/>
          <w:sz w:val="24"/>
        </w:rPr>
        <w:t>合</w:t>
      </w:r>
      <w:proofErr w:type="gramStart"/>
      <w:r w:rsidR="00901457">
        <w:rPr>
          <w:rFonts w:hint="eastAsia"/>
          <w:sz w:val="24"/>
        </w:rPr>
        <w:t>规</w:t>
      </w:r>
      <w:proofErr w:type="gramEnd"/>
      <w:r>
        <w:rPr>
          <w:rFonts w:hint="eastAsia"/>
          <w:sz w:val="24"/>
        </w:rPr>
        <w:t>，不存在</w:t>
      </w:r>
      <w:r w:rsidRPr="00CE267F">
        <w:rPr>
          <w:sz w:val="24"/>
        </w:rPr>
        <w:t>损害</w:t>
      </w:r>
      <w:r>
        <w:rPr>
          <w:rFonts w:hint="eastAsia"/>
          <w:sz w:val="24"/>
        </w:rPr>
        <w:t>公司及全体股东特别是中小股东利益的情形。</w:t>
      </w:r>
      <w:r w:rsidRPr="00CE267F">
        <w:rPr>
          <w:sz w:val="24"/>
        </w:rPr>
        <w:t>我们同意公司</w:t>
      </w:r>
      <w:r>
        <w:rPr>
          <w:rFonts w:hint="eastAsia"/>
          <w:sz w:val="24"/>
        </w:rPr>
        <w:t>计提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年半年度</w:t>
      </w:r>
      <w:r w:rsidRPr="00CE267F">
        <w:rPr>
          <w:sz w:val="24"/>
        </w:rPr>
        <w:t>资产减值准备。</w:t>
      </w:r>
    </w:p>
    <w:p w:rsidR="008C5804" w:rsidRPr="00CE267F" w:rsidRDefault="008C5804" w:rsidP="008C580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（以下无正文）</w:t>
      </w:r>
    </w:p>
    <w:p w:rsidR="008C5804" w:rsidRDefault="008C5804" w:rsidP="00C65E58">
      <w:pPr>
        <w:spacing w:line="420" w:lineRule="exact"/>
        <w:ind w:firstLineChars="200" w:firstLine="480"/>
        <w:rPr>
          <w:rFonts w:ascii="宋体" w:hAnsi="宋体" w:cs="Arial"/>
          <w:sz w:val="24"/>
        </w:rPr>
      </w:pPr>
    </w:p>
    <w:p w:rsidR="008C5804" w:rsidRPr="00F00204" w:rsidRDefault="008C5804" w:rsidP="008C5804">
      <w:pPr>
        <w:spacing w:line="440" w:lineRule="exact"/>
        <w:ind w:firstLineChars="200" w:firstLine="480"/>
        <w:rPr>
          <w:color w:val="000000"/>
          <w:sz w:val="24"/>
        </w:rPr>
      </w:pPr>
      <w:r w:rsidRPr="00DF3F19">
        <w:rPr>
          <w:kern w:val="0"/>
          <w:sz w:val="24"/>
        </w:rPr>
        <w:t>（此页无正文，为山东晨鸣纸业集团股份有限公司独立董事《关于第</w:t>
      </w:r>
      <w:r>
        <w:rPr>
          <w:kern w:val="0"/>
          <w:sz w:val="24"/>
        </w:rPr>
        <w:t>十届</w:t>
      </w:r>
      <w:r w:rsidRPr="00DF3F19">
        <w:rPr>
          <w:kern w:val="0"/>
          <w:sz w:val="24"/>
        </w:rPr>
        <w:t>董事会第</w:t>
      </w:r>
      <w:r>
        <w:rPr>
          <w:rFonts w:hint="eastAsia"/>
          <w:kern w:val="0"/>
          <w:sz w:val="24"/>
        </w:rPr>
        <w:t>六</w:t>
      </w:r>
      <w:r>
        <w:rPr>
          <w:kern w:val="0"/>
          <w:sz w:val="24"/>
        </w:rPr>
        <w:t>次</w:t>
      </w:r>
      <w:r w:rsidRPr="00DF3F19">
        <w:rPr>
          <w:kern w:val="0"/>
          <w:sz w:val="24"/>
        </w:rPr>
        <w:t>会议相关事项的</w:t>
      </w:r>
      <w:r>
        <w:rPr>
          <w:rFonts w:hint="eastAsia"/>
          <w:kern w:val="0"/>
          <w:sz w:val="24"/>
        </w:rPr>
        <w:t>专项说明和</w:t>
      </w:r>
      <w:r w:rsidRPr="00DF3F19">
        <w:rPr>
          <w:kern w:val="0"/>
          <w:sz w:val="24"/>
        </w:rPr>
        <w:t>独立意见》的签字页。）</w:t>
      </w:r>
    </w:p>
    <w:p w:rsidR="008C5804" w:rsidRPr="00DF3F19" w:rsidRDefault="008C5804" w:rsidP="008C5804">
      <w:pPr>
        <w:tabs>
          <w:tab w:val="left" w:pos="1785"/>
        </w:tabs>
        <w:spacing w:line="460" w:lineRule="exact"/>
        <w:ind w:firstLineChars="200" w:firstLine="480"/>
        <w:rPr>
          <w:kern w:val="0"/>
          <w:sz w:val="24"/>
        </w:rPr>
      </w:pPr>
    </w:p>
    <w:p w:rsidR="008C5804" w:rsidRPr="00DF3F19" w:rsidRDefault="008C5804" w:rsidP="008C5804">
      <w:pPr>
        <w:tabs>
          <w:tab w:val="left" w:pos="1785"/>
        </w:tabs>
        <w:spacing w:line="460" w:lineRule="exact"/>
        <w:ind w:firstLineChars="200" w:firstLine="480"/>
        <w:rPr>
          <w:kern w:val="0"/>
          <w:sz w:val="24"/>
        </w:rPr>
      </w:pPr>
    </w:p>
    <w:p w:rsidR="008C5804" w:rsidRPr="00423AE5" w:rsidRDefault="008C5804" w:rsidP="008C5804">
      <w:pPr>
        <w:tabs>
          <w:tab w:val="left" w:pos="1785"/>
        </w:tabs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 w:rsidRPr="00DF3F19">
        <w:rPr>
          <w:kern w:val="0"/>
          <w:sz w:val="24"/>
        </w:rPr>
        <w:t>独立董事</w:t>
      </w:r>
      <w:r w:rsidRPr="00423AE5">
        <w:rPr>
          <w:rFonts w:ascii="宋体" w:hAnsi="宋体"/>
          <w:kern w:val="0"/>
          <w:sz w:val="24"/>
        </w:rPr>
        <w:t>:</w:t>
      </w:r>
    </w:p>
    <w:p w:rsidR="008C5804" w:rsidRPr="00DF3F19" w:rsidRDefault="008C5804" w:rsidP="008C5804">
      <w:pPr>
        <w:tabs>
          <w:tab w:val="left" w:pos="1785"/>
        </w:tabs>
        <w:spacing w:line="460" w:lineRule="exact"/>
        <w:ind w:firstLineChars="200" w:firstLine="480"/>
        <w:rPr>
          <w:kern w:val="0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51"/>
        <w:gridCol w:w="2126"/>
        <w:gridCol w:w="2694"/>
      </w:tblGrid>
      <w:tr w:rsidR="008C5804" w:rsidTr="00267461">
        <w:trPr>
          <w:trHeight w:hRule="exact" w:val="851"/>
          <w:jc w:val="center"/>
        </w:trPr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:rsidR="008C5804" w:rsidRDefault="008C5804" w:rsidP="00267461">
            <w:pPr>
              <w:spacing w:before="100" w:beforeAutospacing="1" w:after="100" w:afterAutospacing="1" w:line="440" w:lineRule="exact"/>
              <w:ind w:firstLineChars="200" w:firstLine="482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5804" w:rsidRDefault="008C5804" w:rsidP="00267461">
            <w:pPr>
              <w:spacing w:beforeLines="50" w:before="156" w:afterLines="50" w:after="156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  <w:vAlign w:val="center"/>
          </w:tcPr>
          <w:p w:rsidR="008C5804" w:rsidRDefault="008C5804" w:rsidP="00267461">
            <w:pPr>
              <w:spacing w:beforeLines="50" w:before="156" w:afterLines="50" w:after="156"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8C5804" w:rsidTr="00267461">
        <w:trPr>
          <w:trHeight w:hRule="exact" w:val="851"/>
          <w:jc w:val="center"/>
        </w:trPr>
        <w:tc>
          <w:tcPr>
            <w:tcW w:w="2551" w:type="dxa"/>
            <w:tcBorders>
              <w:top w:val="single" w:sz="6" w:space="0" w:color="000000"/>
            </w:tcBorders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李志辉</w:t>
            </w:r>
          </w:p>
        </w:tc>
        <w:tc>
          <w:tcPr>
            <w:tcW w:w="2126" w:type="dxa"/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孙剑非</w:t>
            </w:r>
          </w:p>
        </w:tc>
      </w:tr>
      <w:tr w:rsidR="008C5804" w:rsidTr="00267461">
        <w:trPr>
          <w:trHeight w:hRule="exact" w:val="851"/>
          <w:jc w:val="center"/>
        </w:trPr>
        <w:tc>
          <w:tcPr>
            <w:tcW w:w="2551" w:type="dxa"/>
            <w:tcBorders>
              <w:bottom w:val="single" w:sz="6" w:space="0" w:color="000000"/>
            </w:tcBorders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126" w:type="dxa"/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</w:p>
        </w:tc>
      </w:tr>
      <w:tr w:rsidR="008C5804" w:rsidTr="00267461">
        <w:trPr>
          <w:trHeight w:hRule="exact" w:val="851"/>
          <w:jc w:val="center"/>
        </w:trPr>
        <w:tc>
          <w:tcPr>
            <w:tcW w:w="2551" w:type="dxa"/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尹美群</w:t>
            </w:r>
          </w:p>
        </w:tc>
        <w:tc>
          <w:tcPr>
            <w:tcW w:w="2126" w:type="dxa"/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94" w:type="dxa"/>
          </w:tcPr>
          <w:p w:rsidR="008C5804" w:rsidRDefault="008C5804" w:rsidP="00267461">
            <w:pPr>
              <w:spacing w:afterLines="50" w:after="156"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杨彪</w:t>
            </w:r>
          </w:p>
        </w:tc>
      </w:tr>
    </w:tbl>
    <w:p w:rsidR="008C5804" w:rsidRPr="00DF3F19" w:rsidRDefault="008C5804" w:rsidP="008C5804">
      <w:pPr>
        <w:tabs>
          <w:tab w:val="left" w:pos="1785"/>
        </w:tabs>
        <w:spacing w:line="460" w:lineRule="exact"/>
        <w:rPr>
          <w:kern w:val="0"/>
          <w:sz w:val="24"/>
        </w:rPr>
      </w:pPr>
    </w:p>
    <w:p w:rsidR="008C5804" w:rsidRPr="00DF3F19" w:rsidRDefault="008C5804" w:rsidP="008C5804">
      <w:pPr>
        <w:tabs>
          <w:tab w:val="left" w:pos="1785"/>
        </w:tabs>
        <w:spacing w:line="460" w:lineRule="exact"/>
        <w:rPr>
          <w:sz w:val="24"/>
          <w:highlight w:val="yellow"/>
        </w:rPr>
      </w:pPr>
    </w:p>
    <w:p w:rsidR="008C5804" w:rsidRPr="00DF3F19" w:rsidRDefault="008C5804" w:rsidP="008C5804">
      <w:pPr>
        <w:autoSpaceDE w:val="0"/>
        <w:autoSpaceDN w:val="0"/>
        <w:adjustRightInd w:val="0"/>
        <w:spacing w:line="460" w:lineRule="exact"/>
        <w:jc w:val="right"/>
        <w:rPr>
          <w:kern w:val="0"/>
          <w:sz w:val="24"/>
        </w:rPr>
      </w:pPr>
      <w:r>
        <w:rPr>
          <w:kern w:val="0"/>
          <w:sz w:val="24"/>
        </w:rPr>
        <w:t>二〇二</w:t>
      </w:r>
      <w:r>
        <w:rPr>
          <w:rFonts w:hint="eastAsia"/>
          <w:kern w:val="0"/>
          <w:sz w:val="24"/>
        </w:rPr>
        <w:t>三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八</w:t>
      </w:r>
      <w:r w:rsidRPr="00DF3F19">
        <w:rPr>
          <w:kern w:val="0"/>
          <w:sz w:val="24"/>
        </w:rPr>
        <w:t>月三十日</w:t>
      </w:r>
    </w:p>
    <w:p w:rsidR="008C5804" w:rsidRPr="00DF3F19" w:rsidRDefault="008C5804" w:rsidP="008C5804">
      <w:pPr>
        <w:spacing w:line="480" w:lineRule="exact"/>
        <w:ind w:firstLineChars="200" w:firstLine="480"/>
        <w:jc w:val="left"/>
        <w:rPr>
          <w:kern w:val="0"/>
          <w:sz w:val="24"/>
        </w:rPr>
      </w:pPr>
    </w:p>
    <w:p w:rsidR="003C0F26" w:rsidRPr="003C0F26" w:rsidRDefault="003C0F26" w:rsidP="008C5804">
      <w:pPr>
        <w:tabs>
          <w:tab w:val="left" w:pos="1785"/>
        </w:tabs>
        <w:spacing w:line="460" w:lineRule="exact"/>
        <w:ind w:firstLineChars="200" w:firstLine="480"/>
        <w:rPr>
          <w:sz w:val="24"/>
        </w:rPr>
      </w:pPr>
    </w:p>
    <w:sectPr w:rsidR="003C0F26" w:rsidRPr="003C0F26" w:rsidSect="00352705">
      <w:pgSz w:w="11906" w:h="16838"/>
      <w:pgMar w:top="1077" w:right="1418" w:bottom="1077" w:left="1418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94" w:rsidRDefault="00491294" w:rsidP="003C0F26">
      <w:r>
        <w:separator/>
      </w:r>
    </w:p>
  </w:endnote>
  <w:endnote w:type="continuationSeparator" w:id="0">
    <w:p w:rsidR="00491294" w:rsidRDefault="00491294" w:rsidP="003C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94" w:rsidRDefault="00491294" w:rsidP="003C0F26">
      <w:r>
        <w:separator/>
      </w:r>
    </w:p>
  </w:footnote>
  <w:footnote w:type="continuationSeparator" w:id="0">
    <w:p w:rsidR="00491294" w:rsidRDefault="00491294" w:rsidP="003C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F26"/>
    <w:rsid w:val="00033710"/>
    <w:rsid w:val="000B7184"/>
    <w:rsid w:val="00110211"/>
    <w:rsid w:val="00136BE9"/>
    <w:rsid w:val="0016608A"/>
    <w:rsid w:val="00190186"/>
    <w:rsid w:val="001A4545"/>
    <w:rsid w:val="001D1179"/>
    <w:rsid w:val="00201D4F"/>
    <w:rsid w:val="002221FD"/>
    <w:rsid w:val="002C2DFB"/>
    <w:rsid w:val="00300A8E"/>
    <w:rsid w:val="00312383"/>
    <w:rsid w:val="00352705"/>
    <w:rsid w:val="003C0F26"/>
    <w:rsid w:val="003C3915"/>
    <w:rsid w:val="00465E3D"/>
    <w:rsid w:val="00482142"/>
    <w:rsid w:val="00491294"/>
    <w:rsid w:val="004B215B"/>
    <w:rsid w:val="004D28CE"/>
    <w:rsid w:val="004E3E25"/>
    <w:rsid w:val="0055228F"/>
    <w:rsid w:val="00576808"/>
    <w:rsid w:val="00584728"/>
    <w:rsid w:val="005C2538"/>
    <w:rsid w:val="005D3894"/>
    <w:rsid w:val="0073677D"/>
    <w:rsid w:val="00776205"/>
    <w:rsid w:val="007C555B"/>
    <w:rsid w:val="007D727D"/>
    <w:rsid w:val="007E5B16"/>
    <w:rsid w:val="008877D7"/>
    <w:rsid w:val="008A2097"/>
    <w:rsid w:val="008C1FD0"/>
    <w:rsid w:val="008C5804"/>
    <w:rsid w:val="008E4E35"/>
    <w:rsid w:val="008E6D93"/>
    <w:rsid w:val="00901457"/>
    <w:rsid w:val="009412F5"/>
    <w:rsid w:val="009A129A"/>
    <w:rsid w:val="009C1156"/>
    <w:rsid w:val="009D7034"/>
    <w:rsid w:val="009F394D"/>
    <w:rsid w:val="00A74A70"/>
    <w:rsid w:val="00AC209E"/>
    <w:rsid w:val="00B0224D"/>
    <w:rsid w:val="00B25083"/>
    <w:rsid w:val="00B350AE"/>
    <w:rsid w:val="00B7200A"/>
    <w:rsid w:val="00B72AC2"/>
    <w:rsid w:val="00C27052"/>
    <w:rsid w:val="00C65E58"/>
    <w:rsid w:val="00C74505"/>
    <w:rsid w:val="00CB4C4D"/>
    <w:rsid w:val="00CD35F7"/>
    <w:rsid w:val="00CF2EFA"/>
    <w:rsid w:val="00D32B0E"/>
    <w:rsid w:val="00D50D1F"/>
    <w:rsid w:val="00D53DC8"/>
    <w:rsid w:val="00D94E6B"/>
    <w:rsid w:val="00DC7C1F"/>
    <w:rsid w:val="00DD3476"/>
    <w:rsid w:val="00E126D8"/>
    <w:rsid w:val="00E17720"/>
    <w:rsid w:val="00E251AE"/>
    <w:rsid w:val="00E35C1F"/>
    <w:rsid w:val="00E95BE4"/>
    <w:rsid w:val="00EC1CA8"/>
    <w:rsid w:val="00EF3495"/>
    <w:rsid w:val="00F24CAB"/>
    <w:rsid w:val="00FD6958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F2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E126D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126D8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ZXT</cp:lastModifiedBy>
  <cp:revision>46</cp:revision>
  <dcterms:created xsi:type="dcterms:W3CDTF">2018-08-22T11:01:00Z</dcterms:created>
  <dcterms:modified xsi:type="dcterms:W3CDTF">2023-08-28T10:10:00Z</dcterms:modified>
</cp:coreProperties>
</file>